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217" w:rsidRPr="00BA409D" w:rsidRDefault="000C187B" w:rsidP="000C7E4D">
      <w:pPr>
        <w:pStyle w:val="NoSpacing"/>
        <w:widowControl w:val="0"/>
        <w:spacing w:before="120" w:line="216" w:lineRule="auto"/>
        <w:rPr>
          <w:rFonts w:cs="Lotus Linotype"/>
          <w:szCs w:val="28"/>
          <w:rtl/>
        </w:rPr>
      </w:pPr>
      <w:r>
        <w:rPr>
          <w:noProof/>
          <w:rtl/>
          <w:lang w:bidi="ar-SA"/>
        </w:rPr>
        <w:pict>
          <v:shapetype id="_x0000_t202" coordsize="21600,21600" o:spt="202" path="m,l,21600r21600,l21600,xe">
            <v:stroke joinstyle="miter"/>
            <v:path gradientshapeok="t" o:connecttype="rect"/>
          </v:shapetype>
          <v:shape id="_x0000_s1032" type="#_x0000_t202" style="position:absolute;left:0;text-align:left;margin-left:333pt;margin-top:117pt;width:162pt;height:81pt;z-index:2" filled="f" stroked="f">
            <v:textbox>
              <w:txbxContent>
                <w:p w:rsidR="00A41217" w:rsidRPr="00824FAE" w:rsidRDefault="00A41217" w:rsidP="00824FAE">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A41217" w:rsidRPr="00824FAE" w:rsidRDefault="00A41217" w:rsidP="00824FAE">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A41217" w:rsidRPr="00824FAE" w:rsidRDefault="00A41217" w:rsidP="00824FAE">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w10:wrap anchorx="page"/>
          </v:shape>
        </w:pict>
      </w:r>
      <w:r>
        <w:rPr>
          <w:rFonts w:cs="Lotus Linotype"/>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118.9pt">
            <v:imagedata r:id="rId8" o:title=""/>
          </v:shape>
        </w:pict>
      </w:r>
    </w:p>
    <w:p w:rsidR="00A41217" w:rsidRPr="00824FAE" w:rsidRDefault="00A41217" w:rsidP="00824FAE">
      <w:pPr>
        <w:pStyle w:val="NoSpacing"/>
        <w:widowControl w:val="0"/>
        <w:spacing w:before="120" w:line="216" w:lineRule="auto"/>
        <w:rPr>
          <w:rFonts w:cs="Lotus Linotype"/>
          <w:szCs w:val="28"/>
          <w:rtl/>
        </w:rPr>
      </w:pPr>
    </w:p>
    <w:p w:rsidR="00A41217" w:rsidRPr="00BA409D" w:rsidRDefault="00A41217" w:rsidP="00631F52">
      <w:pPr>
        <w:pStyle w:val="NoSpacing"/>
        <w:widowControl w:val="0"/>
        <w:spacing w:before="120" w:line="216" w:lineRule="auto"/>
        <w:rPr>
          <w:rFonts w:cs="Lotus Linotype"/>
          <w:szCs w:val="28"/>
          <w:rtl/>
        </w:rPr>
      </w:pPr>
    </w:p>
    <w:p w:rsidR="00A41217" w:rsidRPr="00631F52" w:rsidRDefault="00A41217" w:rsidP="00631F52">
      <w:pPr>
        <w:bidi/>
        <w:spacing w:before="120" w:after="0" w:line="216" w:lineRule="auto"/>
        <w:jc w:val="center"/>
        <w:rPr>
          <w:rFonts w:cs="Alawi Shafa"/>
          <w:sz w:val="48"/>
          <w:szCs w:val="52"/>
          <w:rtl/>
          <w:lang w:eastAsia="ar-SA" w:bidi="ar-SY"/>
        </w:rPr>
      </w:pPr>
      <w:r w:rsidRPr="00631F52">
        <w:rPr>
          <w:rFonts w:cs="Alawi Shafa" w:hint="cs"/>
          <w:sz w:val="48"/>
          <w:szCs w:val="52"/>
          <w:rtl/>
          <w:lang w:eastAsia="ar-SA" w:bidi="ar-SY"/>
        </w:rPr>
        <w:t>المحور</w:t>
      </w:r>
      <w:r w:rsidRPr="00631F52">
        <w:rPr>
          <w:rFonts w:cs="Alawi Shafa"/>
          <w:sz w:val="48"/>
          <w:szCs w:val="52"/>
          <w:rtl/>
          <w:lang w:eastAsia="ar-SA" w:bidi="ar-SY"/>
        </w:rPr>
        <w:t xml:space="preserve"> </w:t>
      </w:r>
      <w:r w:rsidRPr="00631F52">
        <w:rPr>
          <w:rFonts w:cs="Alawi Shafa" w:hint="cs"/>
          <w:sz w:val="48"/>
          <w:szCs w:val="52"/>
          <w:rtl/>
          <w:lang w:eastAsia="ar-SA" w:bidi="ar-SY"/>
        </w:rPr>
        <w:t>السابع</w:t>
      </w:r>
      <w:r w:rsidRPr="00631F52">
        <w:rPr>
          <w:rFonts w:cs="Alawi Shafa"/>
          <w:sz w:val="48"/>
          <w:szCs w:val="52"/>
          <w:rtl/>
          <w:lang w:eastAsia="ar-SA" w:bidi="ar-SY"/>
        </w:rPr>
        <w:t xml:space="preserve"> </w:t>
      </w:r>
    </w:p>
    <w:p w:rsidR="00A41217" w:rsidRPr="00631F52" w:rsidRDefault="00A41217" w:rsidP="00631F52">
      <w:pPr>
        <w:bidi/>
        <w:spacing w:before="120" w:after="0" w:line="216" w:lineRule="auto"/>
        <w:jc w:val="center"/>
        <w:rPr>
          <w:rFonts w:cs="Alawi Shafa"/>
          <w:sz w:val="48"/>
          <w:szCs w:val="52"/>
          <w:rtl/>
          <w:lang w:eastAsia="ar-SA" w:bidi="ar-SY"/>
        </w:rPr>
      </w:pPr>
      <w:r w:rsidRPr="00631F52">
        <w:rPr>
          <w:rFonts w:cs="Alawi Shafa" w:hint="cs"/>
          <w:sz w:val="48"/>
          <w:szCs w:val="52"/>
          <w:rtl/>
          <w:lang w:eastAsia="ar-SA" w:bidi="ar-SY"/>
        </w:rPr>
        <w:t>السياسة</w:t>
      </w:r>
      <w:r w:rsidRPr="00631F52">
        <w:rPr>
          <w:rFonts w:cs="Alawi Shafa"/>
          <w:sz w:val="48"/>
          <w:szCs w:val="52"/>
          <w:rtl/>
          <w:lang w:eastAsia="ar-SA" w:bidi="ar-SY"/>
        </w:rPr>
        <w:t xml:space="preserve"> </w:t>
      </w:r>
      <w:r w:rsidRPr="00631F52">
        <w:rPr>
          <w:rFonts w:cs="Alawi Shafa" w:hint="cs"/>
          <w:sz w:val="48"/>
          <w:szCs w:val="52"/>
          <w:rtl/>
          <w:lang w:eastAsia="ar-SA" w:bidi="ar-SY"/>
        </w:rPr>
        <w:t>الشرعية</w:t>
      </w:r>
      <w:r w:rsidRPr="00631F52">
        <w:rPr>
          <w:rFonts w:cs="Alawi Shafa"/>
          <w:sz w:val="48"/>
          <w:szCs w:val="52"/>
          <w:rtl/>
          <w:lang w:eastAsia="ar-SA" w:bidi="ar-SY"/>
        </w:rPr>
        <w:t xml:space="preserve"> </w:t>
      </w:r>
      <w:r w:rsidRPr="00631F52">
        <w:rPr>
          <w:rFonts w:cs="Alawi Shafa" w:hint="cs"/>
          <w:sz w:val="48"/>
          <w:szCs w:val="52"/>
          <w:rtl/>
          <w:lang w:eastAsia="ar-SA" w:bidi="ar-SY"/>
        </w:rPr>
        <w:t>في</w:t>
      </w:r>
      <w:r w:rsidRPr="00631F52">
        <w:rPr>
          <w:rFonts w:cs="Alawi Shafa"/>
          <w:sz w:val="48"/>
          <w:szCs w:val="52"/>
          <w:rtl/>
          <w:lang w:eastAsia="ar-SA" w:bidi="ar-SY"/>
        </w:rPr>
        <w:t xml:space="preserve"> </w:t>
      </w:r>
      <w:r w:rsidRPr="00631F52">
        <w:rPr>
          <w:rFonts w:cs="Alawi Shafa" w:hint="cs"/>
          <w:sz w:val="48"/>
          <w:szCs w:val="52"/>
          <w:rtl/>
          <w:lang w:eastAsia="ar-SA" w:bidi="ar-SY"/>
        </w:rPr>
        <w:t>المواقف</w:t>
      </w:r>
      <w:r w:rsidRPr="00631F52">
        <w:rPr>
          <w:rFonts w:cs="Alawi Shafa"/>
          <w:sz w:val="48"/>
          <w:szCs w:val="52"/>
          <w:rtl/>
          <w:lang w:eastAsia="ar-SA" w:bidi="ar-SY"/>
        </w:rPr>
        <w:t xml:space="preserve"> </w:t>
      </w:r>
      <w:r w:rsidRPr="00631F52">
        <w:rPr>
          <w:rFonts w:cs="Alawi Shafa" w:hint="cs"/>
          <w:sz w:val="48"/>
          <w:szCs w:val="52"/>
          <w:rtl/>
          <w:lang w:eastAsia="ar-SA" w:bidi="ar-SY"/>
        </w:rPr>
        <w:t>الدعوية</w:t>
      </w:r>
      <w:r w:rsidRPr="00631F52">
        <w:rPr>
          <w:rFonts w:cs="Alawi Shafa"/>
          <w:sz w:val="48"/>
          <w:szCs w:val="52"/>
          <w:rtl/>
          <w:lang w:eastAsia="ar-SA" w:bidi="ar-SY"/>
        </w:rPr>
        <w:t xml:space="preserve"> (2)</w:t>
      </w:r>
    </w:p>
    <w:p w:rsidR="00A41217" w:rsidRDefault="00A41217" w:rsidP="00631F52">
      <w:pPr>
        <w:bidi/>
        <w:spacing w:before="120" w:after="0" w:line="216" w:lineRule="auto"/>
        <w:jc w:val="center"/>
        <w:rPr>
          <w:rFonts w:cs="الحوكمي عنوان2"/>
          <w:szCs w:val="38"/>
          <w:rtl/>
          <w:lang w:bidi="ar-SY"/>
        </w:rPr>
      </w:pPr>
    </w:p>
    <w:p w:rsidR="00A41217" w:rsidRPr="000C7E4D" w:rsidRDefault="00A41217" w:rsidP="00631F52">
      <w:pPr>
        <w:bidi/>
        <w:spacing w:before="120" w:after="0" w:line="216" w:lineRule="auto"/>
        <w:jc w:val="center"/>
        <w:rPr>
          <w:rFonts w:cs="الحوكمي عنوان2"/>
          <w:szCs w:val="36"/>
          <w:rtl/>
          <w:lang w:bidi="ar-SY"/>
        </w:rPr>
      </w:pPr>
    </w:p>
    <w:p w:rsidR="00A41217" w:rsidRDefault="00A41217" w:rsidP="00631F52">
      <w:pPr>
        <w:bidi/>
        <w:spacing w:before="120" w:after="0" w:line="216" w:lineRule="auto"/>
        <w:jc w:val="center"/>
        <w:rPr>
          <w:rFonts w:cs="الحوكمي عنوان2"/>
          <w:szCs w:val="38"/>
          <w:rtl/>
          <w:lang w:bidi="ar-SY"/>
        </w:rPr>
      </w:pPr>
    </w:p>
    <w:p w:rsidR="00A41217" w:rsidRDefault="00A41217" w:rsidP="00631F52">
      <w:pPr>
        <w:pStyle w:val="NoSpacing"/>
        <w:widowControl w:val="0"/>
        <w:spacing w:line="216" w:lineRule="auto"/>
        <w:jc w:val="center"/>
        <w:rPr>
          <w:rFonts w:cs="KFGQPC Uthman Taha Naskh"/>
          <w:rtl/>
        </w:rPr>
      </w:pPr>
    </w:p>
    <w:p w:rsidR="00A41217" w:rsidRDefault="00A41217" w:rsidP="00631F52">
      <w:pPr>
        <w:pStyle w:val="NoSpacing"/>
        <w:widowControl w:val="0"/>
        <w:spacing w:line="216" w:lineRule="auto"/>
        <w:jc w:val="center"/>
        <w:rPr>
          <w:rFonts w:cs="KFGQPC Uthman Taha Naskh"/>
          <w:rtl/>
        </w:rPr>
      </w:pPr>
    </w:p>
    <w:p w:rsidR="00A41217" w:rsidRDefault="00A41217" w:rsidP="00631F52">
      <w:pPr>
        <w:pStyle w:val="NoSpacing"/>
        <w:widowControl w:val="0"/>
        <w:spacing w:line="216" w:lineRule="auto"/>
        <w:jc w:val="center"/>
        <w:rPr>
          <w:rFonts w:cs="KFGQPC Uthman Taha Naskh"/>
          <w:rtl/>
        </w:rPr>
      </w:pPr>
    </w:p>
    <w:p w:rsidR="00A41217" w:rsidRPr="00631F52" w:rsidRDefault="00A41217" w:rsidP="00631F52">
      <w:pPr>
        <w:pStyle w:val="NoSpacing"/>
        <w:widowControl w:val="0"/>
        <w:spacing w:line="216" w:lineRule="auto"/>
        <w:jc w:val="center"/>
        <w:rPr>
          <w:rFonts w:cs="KFGQPC Uthman Taha Naskh"/>
          <w:rtl/>
        </w:rPr>
      </w:pPr>
      <w:r w:rsidRPr="00631F52">
        <w:rPr>
          <w:rFonts w:cs="KFGQPC Uthman Taha Naskh"/>
          <w:rtl/>
        </w:rPr>
        <w:t>الدكتور</w:t>
      </w:r>
    </w:p>
    <w:p w:rsidR="00A41217" w:rsidRPr="00125FF2" w:rsidRDefault="00A41217" w:rsidP="00631F52">
      <w:pPr>
        <w:bidi/>
        <w:spacing w:before="120" w:after="0" w:line="216" w:lineRule="auto"/>
        <w:jc w:val="center"/>
        <w:rPr>
          <w:rFonts w:cs="الحوكمي عنوان2"/>
          <w:sz w:val="38"/>
          <w:szCs w:val="48"/>
          <w:rtl/>
          <w:lang w:bidi="ar-EG"/>
        </w:rPr>
      </w:pPr>
      <w:bookmarkStart w:id="0" w:name="_GoBack"/>
      <w:r w:rsidRPr="000C7E4D">
        <w:rPr>
          <w:rFonts w:cs="الحوكمي عنوان2" w:hint="cs"/>
          <w:sz w:val="38"/>
          <w:szCs w:val="48"/>
          <w:rtl/>
          <w:lang w:bidi="ar-EG"/>
        </w:rPr>
        <w:t>حاتم</w:t>
      </w:r>
      <w:r w:rsidRPr="000C7E4D">
        <w:rPr>
          <w:rFonts w:cs="الحوكمي عنوان2"/>
          <w:sz w:val="38"/>
          <w:szCs w:val="48"/>
          <w:rtl/>
          <w:lang w:bidi="ar-EG"/>
        </w:rPr>
        <w:t xml:space="preserve"> </w:t>
      </w:r>
      <w:r w:rsidRPr="000C7E4D">
        <w:rPr>
          <w:rFonts w:cs="الحوكمي عنوان2" w:hint="cs"/>
          <w:sz w:val="38"/>
          <w:szCs w:val="48"/>
          <w:rtl/>
          <w:lang w:bidi="ar-EG"/>
        </w:rPr>
        <w:t>الحاج</w:t>
      </w:r>
      <w:bookmarkEnd w:id="0"/>
    </w:p>
    <w:p w:rsidR="00A41217" w:rsidRPr="00631F52" w:rsidRDefault="00A41217" w:rsidP="00631F52">
      <w:pPr>
        <w:pStyle w:val="NoSpacing"/>
        <w:widowControl w:val="0"/>
        <w:spacing w:line="216" w:lineRule="auto"/>
        <w:jc w:val="center"/>
        <w:rPr>
          <w:rFonts w:cs="KFGQPC Uthman Taha Naskh"/>
          <w:rtl/>
        </w:rPr>
      </w:pPr>
      <w:r w:rsidRPr="00631F52">
        <w:rPr>
          <w:rFonts w:cs="KFGQPC Uthman Taha Naskh"/>
          <w:rtl/>
        </w:rPr>
        <w:t>عضو اللجنة الدائمة للإفتاء</w:t>
      </w:r>
    </w:p>
    <w:p w:rsidR="00A41217" w:rsidRPr="00631F52" w:rsidRDefault="00A41217" w:rsidP="00631F52">
      <w:pPr>
        <w:pStyle w:val="NoSpacing"/>
        <w:widowControl w:val="0"/>
        <w:spacing w:line="216" w:lineRule="auto"/>
        <w:jc w:val="center"/>
        <w:rPr>
          <w:rFonts w:cs="KFGQPC Uthman Taha Naskh"/>
          <w:rtl/>
        </w:rPr>
      </w:pPr>
      <w:r w:rsidRPr="00631F52">
        <w:rPr>
          <w:rFonts w:cs="KFGQPC Uthman Taha Naskh"/>
          <w:rtl/>
        </w:rPr>
        <w:t>بمجمع فقهاء الشريعة بأمريكا</w:t>
      </w:r>
    </w:p>
    <w:p w:rsidR="00A41217" w:rsidRDefault="00A41217" w:rsidP="00631F52">
      <w:pPr>
        <w:bidi/>
        <w:spacing w:before="120" w:after="0" w:line="216" w:lineRule="auto"/>
        <w:jc w:val="center"/>
        <w:rPr>
          <w:rFonts w:cs="الحوكمي عنوان2"/>
          <w:szCs w:val="36"/>
          <w:rtl/>
          <w:lang w:bidi="ar-SY"/>
        </w:rPr>
      </w:pPr>
    </w:p>
    <w:p w:rsidR="00A41217" w:rsidRDefault="00A41217" w:rsidP="00631F52">
      <w:pPr>
        <w:bidi/>
        <w:spacing w:before="120" w:after="0" w:line="216" w:lineRule="auto"/>
        <w:jc w:val="center"/>
        <w:rPr>
          <w:rFonts w:cs="الحوكمي عنوان2"/>
          <w:szCs w:val="36"/>
          <w:rtl/>
          <w:lang w:bidi="ar-SY"/>
        </w:rPr>
      </w:pPr>
    </w:p>
    <w:p w:rsidR="00A41217" w:rsidRPr="00BA409D" w:rsidRDefault="00A41217" w:rsidP="00631F52">
      <w:pPr>
        <w:pStyle w:val="NoSpacing"/>
        <w:widowControl w:val="0"/>
        <w:spacing w:before="120" w:line="216" w:lineRule="auto"/>
        <w:rPr>
          <w:rFonts w:cs="Lotus Linotype"/>
          <w:szCs w:val="28"/>
          <w:rtl/>
        </w:rPr>
      </w:pPr>
    </w:p>
    <w:p w:rsidR="00A41217" w:rsidRPr="00BA409D" w:rsidRDefault="00A41217" w:rsidP="000C7E4D">
      <w:pPr>
        <w:pStyle w:val="NoSpacing"/>
        <w:widowControl w:val="0"/>
        <w:spacing w:before="120" w:line="216" w:lineRule="auto"/>
        <w:rPr>
          <w:rFonts w:cs="Lotus Linotype"/>
          <w:szCs w:val="28"/>
          <w:rtl/>
        </w:rPr>
      </w:pPr>
    </w:p>
    <w:p w:rsidR="00A41217" w:rsidRPr="00BA409D" w:rsidRDefault="00A41217" w:rsidP="000C7E4D">
      <w:pPr>
        <w:pStyle w:val="NoSpacing"/>
        <w:widowControl w:val="0"/>
        <w:spacing w:before="120" w:line="216" w:lineRule="auto"/>
        <w:rPr>
          <w:rFonts w:cs="Lotus Linotype"/>
          <w:szCs w:val="28"/>
          <w:rtl/>
        </w:rPr>
      </w:pPr>
    </w:p>
    <w:p w:rsidR="00A41217" w:rsidRPr="00BA409D" w:rsidRDefault="00A41217" w:rsidP="000C7E4D">
      <w:pPr>
        <w:pStyle w:val="NoSpacing"/>
        <w:widowControl w:val="0"/>
        <w:spacing w:before="120" w:line="216" w:lineRule="auto"/>
        <w:rPr>
          <w:rFonts w:cs="Lotus Linotype"/>
          <w:szCs w:val="28"/>
          <w:rtl/>
        </w:rPr>
      </w:pPr>
    </w:p>
    <w:p w:rsidR="00A41217" w:rsidRPr="00BA409D" w:rsidRDefault="000C187B" w:rsidP="00631F52">
      <w:pPr>
        <w:widowControl w:val="0"/>
        <w:bidi/>
        <w:spacing w:after="0" w:line="216" w:lineRule="auto"/>
        <w:jc w:val="center"/>
        <w:outlineLvl w:val="0"/>
        <w:rPr>
          <w:rFonts w:ascii="Traditional Arabic" w:hAnsi="Traditional Arabic" w:cs="Lotus Linotype"/>
          <w:sz w:val="36"/>
          <w:szCs w:val="28"/>
          <w:rtl/>
          <w:lang w:bidi="ar-EG"/>
        </w:rPr>
      </w:pPr>
      <w:bookmarkStart w:id="1" w:name="_Toc444283362"/>
      <w:bookmarkStart w:id="2" w:name="_Toc444283400"/>
      <w:bookmarkStart w:id="3" w:name="_Toc444283451"/>
      <w:bookmarkStart w:id="4" w:name="_Toc444283497"/>
      <w:bookmarkStart w:id="5" w:name="_Toc444382223"/>
      <w:bookmarkStart w:id="6" w:name="_Toc441671720"/>
      <w:r>
        <w:rPr>
          <w:noProof/>
          <w:rtl/>
        </w:rPr>
        <w:pict>
          <v:shape id="_x0000_s1033" type="#_x0000_t75" style="position:absolute;left:0;text-align:left;margin-left:0;margin-top:0;width:339pt;height:347.2pt;z-index:1;mso-position-horizontal:center;mso-position-vertical:center;mso-position-vertical-relative:page">
            <v:imagedata r:id="rId9" o:title="" croptop="2824f" cropright="3012f"/>
            <w10:wrap anchory="page"/>
          </v:shape>
        </w:pict>
      </w:r>
      <w:bookmarkEnd w:id="1"/>
      <w:bookmarkEnd w:id="2"/>
      <w:bookmarkEnd w:id="3"/>
      <w:bookmarkEnd w:id="4"/>
      <w:bookmarkEnd w:id="5"/>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Default="00A41217" w:rsidP="00BA409D">
      <w:pPr>
        <w:widowControl w:val="0"/>
        <w:bidi/>
        <w:spacing w:after="0" w:line="216" w:lineRule="auto"/>
        <w:jc w:val="center"/>
        <w:outlineLvl w:val="0"/>
        <w:rPr>
          <w:rFonts w:ascii="Traditional Arabic" w:hAnsi="Traditional Arabic" w:cs="Lotus Linotype"/>
          <w:sz w:val="36"/>
          <w:szCs w:val="28"/>
          <w:rtl/>
          <w:lang w:bidi="ar-EG"/>
        </w:rPr>
      </w:pPr>
    </w:p>
    <w:p w:rsidR="00A41217" w:rsidRDefault="00A41217" w:rsidP="00BA409D">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BA409D">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BA409D" w:rsidRDefault="00A41217" w:rsidP="00631F52">
      <w:pPr>
        <w:widowControl w:val="0"/>
        <w:bidi/>
        <w:spacing w:after="0" w:line="216" w:lineRule="auto"/>
        <w:jc w:val="center"/>
        <w:outlineLvl w:val="0"/>
        <w:rPr>
          <w:rFonts w:ascii="Traditional Arabic" w:hAnsi="Traditional Arabic" w:cs="Lotus Linotype"/>
          <w:sz w:val="36"/>
          <w:szCs w:val="28"/>
          <w:rtl/>
          <w:lang w:bidi="ar-EG"/>
        </w:rPr>
      </w:pPr>
    </w:p>
    <w:p w:rsidR="00A41217" w:rsidRPr="000A5EA3" w:rsidRDefault="00A41217" w:rsidP="000A5EA3">
      <w:pPr>
        <w:pStyle w:val="TOC1"/>
        <w:tabs>
          <w:tab w:val="right" w:leader="dot" w:pos="9964"/>
        </w:tabs>
        <w:bidi/>
        <w:spacing w:before="0" w:line="216" w:lineRule="auto"/>
        <w:rPr>
          <w:rFonts w:ascii="Times New Roman" w:hAnsi="Times New Roman" w:cs="الحوكمي عنوان2"/>
          <w:b w:val="0"/>
          <w:bCs w:val="0"/>
          <w:i w:val="0"/>
          <w:iCs w:val="0"/>
          <w:noProof/>
          <w:szCs w:val="24"/>
        </w:rPr>
      </w:pPr>
      <w:r w:rsidRPr="000A5EA3">
        <w:rPr>
          <w:rFonts w:ascii="Traditional Arabic" w:hAnsi="Traditional Arabic" w:cs="الحوكمي عنوان2"/>
          <w:b w:val="0"/>
          <w:bCs w:val="0"/>
          <w:i w:val="0"/>
          <w:iCs w:val="0"/>
          <w:sz w:val="32"/>
          <w:szCs w:val="26"/>
          <w:rtl/>
          <w:lang w:bidi="ar-EG"/>
        </w:rPr>
        <w:fldChar w:fldCharType="begin"/>
      </w:r>
      <w:r w:rsidRPr="000A5EA3">
        <w:rPr>
          <w:rFonts w:ascii="Traditional Arabic" w:hAnsi="Traditional Arabic" w:cs="الحوكمي عنوان2"/>
          <w:b w:val="0"/>
          <w:bCs w:val="0"/>
          <w:i w:val="0"/>
          <w:iCs w:val="0"/>
          <w:sz w:val="32"/>
          <w:szCs w:val="26"/>
          <w:rtl/>
          <w:lang w:bidi="ar-EG"/>
        </w:rPr>
        <w:instrText xml:space="preserve"> </w:instrText>
      </w:r>
      <w:r w:rsidRPr="000A5EA3">
        <w:rPr>
          <w:rFonts w:ascii="Traditional Arabic" w:hAnsi="Traditional Arabic" w:cs="الحوكمي عنوان2"/>
          <w:b w:val="0"/>
          <w:bCs w:val="0"/>
          <w:i w:val="0"/>
          <w:iCs w:val="0"/>
          <w:sz w:val="32"/>
          <w:szCs w:val="26"/>
          <w:lang w:bidi="ar-EG"/>
        </w:rPr>
        <w:instrText>TOC</w:instrText>
      </w:r>
      <w:r w:rsidRPr="000A5EA3">
        <w:rPr>
          <w:rFonts w:ascii="Traditional Arabic" w:hAnsi="Traditional Arabic" w:cs="الحوكمي عنوان2"/>
          <w:b w:val="0"/>
          <w:bCs w:val="0"/>
          <w:i w:val="0"/>
          <w:iCs w:val="0"/>
          <w:sz w:val="32"/>
          <w:szCs w:val="26"/>
          <w:rtl/>
          <w:lang w:bidi="ar-EG"/>
        </w:rPr>
        <w:instrText xml:space="preserve"> \</w:instrText>
      </w:r>
      <w:r w:rsidRPr="000A5EA3">
        <w:rPr>
          <w:rFonts w:ascii="Traditional Arabic" w:hAnsi="Traditional Arabic" w:cs="الحوكمي عنوان2"/>
          <w:b w:val="0"/>
          <w:bCs w:val="0"/>
          <w:i w:val="0"/>
          <w:iCs w:val="0"/>
          <w:sz w:val="32"/>
          <w:szCs w:val="26"/>
          <w:lang w:bidi="ar-EG"/>
        </w:rPr>
        <w:instrText>o "1-5" \h \z \u</w:instrText>
      </w:r>
      <w:r w:rsidRPr="000A5EA3">
        <w:rPr>
          <w:rFonts w:ascii="Traditional Arabic" w:hAnsi="Traditional Arabic" w:cs="الحوكمي عنوان2"/>
          <w:b w:val="0"/>
          <w:bCs w:val="0"/>
          <w:i w:val="0"/>
          <w:iCs w:val="0"/>
          <w:sz w:val="32"/>
          <w:szCs w:val="26"/>
          <w:rtl/>
          <w:lang w:bidi="ar-EG"/>
        </w:rPr>
        <w:instrText xml:space="preserve"> </w:instrText>
      </w:r>
      <w:r w:rsidRPr="000A5EA3">
        <w:rPr>
          <w:rFonts w:ascii="Traditional Arabic" w:hAnsi="Traditional Arabic" w:cs="الحوكمي عنوان2"/>
          <w:b w:val="0"/>
          <w:bCs w:val="0"/>
          <w:i w:val="0"/>
          <w:iCs w:val="0"/>
          <w:sz w:val="32"/>
          <w:szCs w:val="26"/>
          <w:rtl/>
          <w:lang w:bidi="ar-EG"/>
        </w:rPr>
        <w:fldChar w:fldCharType="separate"/>
      </w:r>
      <w:hyperlink w:anchor="_Toc444382224" w:history="1">
        <w:r w:rsidRPr="000A5EA3">
          <w:rPr>
            <w:rStyle w:val="Hyperlink"/>
            <w:rFonts w:cs="الحوكمي عنوان2" w:hint="cs"/>
            <w:b w:val="0"/>
            <w:bCs w:val="0"/>
            <w:i w:val="0"/>
            <w:iCs w:val="0"/>
            <w:noProof/>
            <w:rtl/>
          </w:rPr>
          <w:t>تمهيد</w:t>
        </w:r>
        <w:r w:rsidRPr="000A5EA3">
          <w:rPr>
            <w:rFonts w:cs="الحوكمي عنوان2"/>
            <w:b w:val="0"/>
            <w:bCs w:val="0"/>
            <w:i w:val="0"/>
            <w:iCs w:val="0"/>
            <w:noProof/>
            <w:webHidden/>
          </w:rPr>
          <w:tab/>
        </w:r>
        <w:r w:rsidRPr="000A5EA3">
          <w:rPr>
            <w:rFonts w:cs="الحوكمي عنوان2"/>
            <w:b w:val="0"/>
            <w:bCs w:val="0"/>
            <w:i w:val="0"/>
            <w:iCs w:val="0"/>
            <w:noProof/>
            <w:webHidden/>
          </w:rPr>
          <w:fldChar w:fldCharType="begin"/>
        </w:r>
        <w:r w:rsidRPr="000A5EA3">
          <w:rPr>
            <w:rFonts w:cs="الحوكمي عنوان2"/>
            <w:b w:val="0"/>
            <w:bCs w:val="0"/>
            <w:i w:val="0"/>
            <w:iCs w:val="0"/>
            <w:noProof/>
            <w:webHidden/>
          </w:rPr>
          <w:instrText xml:space="preserve"> PAGEREF _Toc444382224 \h </w:instrText>
        </w:r>
        <w:r w:rsidRPr="000A5EA3">
          <w:rPr>
            <w:rFonts w:cs="الحوكمي عنوان2"/>
            <w:b w:val="0"/>
            <w:bCs w:val="0"/>
            <w:i w:val="0"/>
            <w:iCs w:val="0"/>
            <w:noProof/>
            <w:webHidden/>
          </w:rPr>
        </w:r>
        <w:r w:rsidRPr="000A5EA3">
          <w:rPr>
            <w:rFonts w:cs="الحوكمي عنوان2"/>
            <w:b w:val="0"/>
            <w:bCs w:val="0"/>
            <w:i w:val="0"/>
            <w:iCs w:val="0"/>
            <w:noProof/>
            <w:webHidden/>
          </w:rPr>
          <w:fldChar w:fldCharType="separate"/>
        </w:r>
        <w:r w:rsidR="004F7AD7">
          <w:rPr>
            <w:rFonts w:cs="الحوكمي عنوان2"/>
            <w:b w:val="0"/>
            <w:bCs w:val="0"/>
            <w:i w:val="0"/>
            <w:iCs w:val="0"/>
            <w:noProof/>
            <w:webHidden/>
            <w:rtl/>
          </w:rPr>
          <w:t>4</w:t>
        </w:r>
        <w:r w:rsidRPr="000A5EA3">
          <w:rPr>
            <w:rFonts w:cs="الحوكمي عنوان2"/>
            <w:b w:val="0"/>
            <w:bCs w:val="0"/>
            <w:i w:val="0"/>
            <w:iCs w:val="0"/>
            <w:noProof/>
            <w:webHidden/>
          </w:rPr>
          <w:fldChar w:fldCharType="end"/>
        </w:r>
      </w:hyperlink>
    </w:p>
    <w:p w:rsidR="00A41217" w:rsidRPr="000A5EA3" w:rsidRDefault="000C187B" w:rsidP="000A5EA3">
      <w:pPr>
        <w:pStyle w:val="TOC1"/>
        <w:tabs>
          <w:tab w:val="right" w:leader="dot" w:pos="9964"/>
        </w:tabs>
        <w:bidi/>
        <w:spacing w:before="0" w:line="216" w:lineRule="auto"/>
        <w:rPr>
          <w:rFonts w:ascii="Times New Roman" w:hAnsi="Times New Roman" w:cs="الحوكمي عنوان2"/>
          <w:b w:val="0"/>
          <w:bCs w:val="0"/>
          <w:i w:val="0"/>
          <w:iCs w:val="0"/>
          <w:noProof/>
          <w:szCs w:val="24"/>
        </w:rPr>
      </w:pPr>
      <w:hyperlink w:anchor="_Toc444382225" w:history="1">
        <w:r w:rsidR="00A41217" w:rsidRPr="000A5EA3">
          <w:rPr>
            <w:rStyle w:val="Hyperlink"/>
            <w:rFonts w:cs="الحوكمي عنوان2" w:hint="cs"/>
            <w:b w:val="0"/>
            <w:bCs w:val="0"/>
            <w:i w:val="0"/>
            <w:iCs w:val="0"/>
            <w:noProof/>
            <w:rtl/>
            <w:lang w:bidi="ar-EG"/>
          </w:rPr>
          <w:t>المطلب</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الأول</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حضور</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مناشط</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لغير</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المسلمين</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فيها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مفاسد</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مثل</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الخمر</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وتنظيم</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المناشط</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المشتركة</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مع</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المخالفين</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في</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الدين،</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والمجاهرين</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بالفجور</w:t>
        </w:r>
        <w:r w:rsidR="00A41217" w:rsidRPr="000A5EA3">
          <w:rPr>
            <w:rFonts w:cs="الحوكمي عنوان2"/>
            <w:b w:val="0"/>
            <w:bCs w:val="0"/>
            <w:i w:val="0"/>
            <w:iCs w:val="0"/>
            <w:noProof/>
            <w:webHidden/>
          </w:rPr>
          <w:tab/>
        </w:r>
        <w:r w:rsidR="00A41217" w:rsidRPr="000A5EA3">
          <w:rPr>
            <w:rFonts w:cs="الحوكمي عنوان2"/>
            <w:b w:val="0"/>
            <w:bCs w:val="0"/>
            <w:i w:val="0"/>
            <w:iCs w:val="0"/>
            <w:noProof/>
            <w:webHidden/>
          </w:rPr>
          <w:fldChar w:fldCharType="begin"/>
        </w:r>
        <w:r w:rsidR="00A41217" w:rsidRPr="000A5EA3">
          <w:rPr>
            <w:rFonts w:cs="الحوكمي عنوان2"/>
            <w:b w:val="0"/>
            <w:bCs w:val="0"/>
            <w:i w:val="0"/>
            <w:iCs w:val="0"/>
            <w:noProof/>
            <w:webHidden/>
          </w:rPr>
          <w:instrText xml:space="preserve"> PAGEREF _Toc444382225 \h </w:instrText>
        </w:r>
        <w:r w:rsidR="00A41217" w:rsidRPr="000A5EA3">
          <w:rPr>
            <w:rFonts w:cs="الحوكمي عنوان2"/>
            <w:b w:val="0"/>
            <w:bCs w:val="0"/>
            <w:i w:val="0"/>
            <w:iCs w:val="0"/>
            <w:noProof/>
            <w:webHidden/>
          </w:rPr>
        </w:r>
        <w:r w:rsidR="00A41217" w:rsidRPr="000A5EA3">
          <w:rPr>
            <w:rFonts w:cs="الحوكمي عنوان2"/>
            <w:b w:val="0"/>
            <w:bCs w:val="0"/>
            <w:i w:val="0"/>
            <w:iCs w:val="0"/>
            <w:noProof/>
            <w:webHidden/>
          </w:rPr>
          <w:fldChar w:fldCharType="separate"/>
        </w:r>
        <w:r w:rsidR="004F7AD7">
          <w:rPr>
            <w:rFonts w:cs="الحوكمي عنوان2"/>
            <w:b w:val="0"/>
            <w:bCs w:val="0"/>
            <w:i w:val="0"/>
            <w:iCs w:val="0"/>
            <w:noProof/>
            <w:webHidden/>
            <w:rtl/>
          </w:rPr>
          <w:t>7</w:t>
        </w:r>
        <w:r w:rsidR="00A41217" w:rsidRPr="000A5EA3">
          <w:rPr>
            <w:rFonts w:cs="الحوكمي عنوان2"/>
            <w:b w:val="0"/>
            <w:bCs w:val="0"/>
            <w:i w:val="0"/>
            <w:i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26" w:history="1">
        <w:r w:rsidR="00A41217" w:rsidRPr="000A5EA3">
          <w:rPr>
            <w:rStyle w:val="Hyperlink"/>
            <w:rFonts w:cs="الحوكمي عنوان2" w:hint="cs"/>
            <w:b w:val="0"/>
            <w:bCs w:val="0"/>
            <w:noProof/>
            <w:rtl/>
          </w:rPr>
          <w:t>الأصل</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المخالطة</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_Toc444382226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7</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27" w:history="1">
        <w:r w:rsidR="00A41217" w:rsidRPr="000A5EA3">
          <w:rPr>
            <w:rStyle w:val="Hyperlink"/>
            <w:rFonts w:cs="الحوكمي عنوان2" w:hint="cs"/>
            <w:b w:val="0"/>
            <w:bCs w:val="0"/>
            <w:noProof/>
            <w:rtl/>
          </w:rPr>
          <w:t>أحكام</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وآداب</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المخالطة</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_Toc444382227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9</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28" w:history="1">
        <w:r w:rsidR="00A41217" w:rsidRPr="000A5EA3">
          <w:rPr>
            <w:rStyle w:val="Hyperlink"/>
            <w:rFonts w:cs="الحوكمي عنوان2" w:hint="cs"/>
            <w:b w:val="0"/>
            <w:bCs w:val="0"/>
            <w:noProof/>
            <w:rtl/>
          </w:rPr>
          <w:t>عدم</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الإكثار</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من</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مخالطة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من</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ينسيك</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ذكر</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الله</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وحقوقه</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_Toc444382228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10</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29" w:history="1">
        <w:r w:rsidR="00A41217" w:rsidRPr="000A5EA3">
          <w:rPr>
            <w:rStyle w:val="Hyperlink"/>
            <w:rFonts w:cs="الحوكمي عنوان2" w:hint="cs"/>
            <w:b w:val="0"/>
            <w:bCs w:val="0"/>
            <w:noProof/>
            <w:rtl/>
          </w:rPr>
          <w:t>التحلي</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بالآداب</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والأخلاق</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الإسلامية</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_Toc444382229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11</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0" w:history="1">
        <w:r w:rsidR="00A41217" w:rsidRPr="000A5EA3">
          <w:rPr>
            <w:rStyle w:val="Hyperlink"/>
            <w:rFonts w:cs="الحوكمي عنوان2" w:hint="cs"/>
            <w:b w:val="0"/>
            <w:bCs w:val="0"/>
            <w:noProof/>
            <w:rtl/>
          </w:rPr>
          <w:t>ما</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بين</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وجوب</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الأمر</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بالمعروف</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وإنكار</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المنكر</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وغض</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الطرف</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_Toc444382230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11</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1" w:history="1">
        <w:r w:rsidR="00A41217" w:rsidRPr="000A5EA3">
          <w:rPr>
            <w:rStyle w:val="Hyperlink"/>
            <w:rFonts w:cs="الحوكمي عنوان2" w:hint="cs"/>
            <w:b w:val="0"/>
            <w:bCs w:val="0"/>
            <w:noProof/>
            <w:rtl/>
          </w:rPr>
          <w:t>اللياقة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والمعاملة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بالمثل</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_Toc444382231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14</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2" w:history="1">
        <w:r w:rsidR="00A41217" w:rsidRPr="000A5EA3">
          <w:rPr>
            <w:rStyle w:val="Hyperlink"/>
            <w:rFonts w:cs="الحوكمي عنوان2" w:hint="cs"/>
            <w:b w:val="0"/>
            <w:bCs w:val="0"/>
            <w:noProof/>
            <w:rtl/>
          </w:rPr>
          <w:t>التطبيقات</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العملية</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_Toc444382232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14</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3" w:history="1">
        <w:r w:rsidR="00A41217" w:rsidRPr="000A5EA3">
          <w:rPr>
            <w:rStyle w:val="Hyperlink"/>
            <w:rFonts w:cs="الحوكمي عنوان2" w:hint="cs"/>
            <w:b w:val="0"/>
            <w:bCs w:val="0"/>
            <w:noProof/>
            <w:rtl/>
          </w:rPr>
          <w:t>حضور</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المناشط</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التي</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يشرب</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فيها</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الخمر</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_Toc444382233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15</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4" w:history="1">
        <w:r w:rsidR="00A41217" w:rsidRPr="000A5EA3">
          <w:rPr>
            <w:rStyle w:val="Hyperlink"/>
            <w:rFonts w:cs="الحوكمي عنوان2" w:hint="cs"/>
            <w:b w:val="0"/>
            <w:bCs w:val="0"/>
            <w:noProof/>
            <w:rtl/>
          </w:rPr>
          <w:t>مصافحة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المرأة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الأجنبية</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_Toc444382234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16</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5" w:history="1">
        <w:r w:rsidR="00A41217" w:rsidRPr="000A5EA3">
          <w:rPr>
            <w:rStyle w:val="Hyperlink"/>
            <w:rFonts w:cs="الحوكمي عنوان2" w:hint="cs"/>
            <w:b w:val="0"/>
            <w:bCs w:val="0"/>
            <w:noProof/>
            <w:rtl/>
          </w:rPr>
          <w:t>مصافحة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المرأة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الأجنبية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لمنع</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الحرج</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_Toc444382235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16</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6" w:history="1">
        <w:r w:rsidR="00A41217" w:rsidRPr="000A5EA3">
          <w:rPr>
            <w:rStyle w:val="Hyperlink"/>
            <w:rFonts w:cs="الحوكمي عنوان2" w:hint="cs"/>
            <w:b w:val="0"/>
            <w:bCs w:val="0"/>
            <w:noProof/>
            <w:rtl/>
          </w:rPr>
          <w:t>دليل</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المنع</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من</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المصافحة</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_Toc444382236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16</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7" w:history="1">
        <w:r w:rsidR="00A41217" w:rsidRPr="000A5EA3">
          <w:rPr>
            <w:rStyle w:val="Hyperlink"/>
            <w:rFonts w:cs="الحوكمي عنوان2" w:hint="cs"/>
            <w:b w:val="0"/>
            <w:bCs w:val="0"/>
            <w:noProof/>
            <w:rtl/>
          </w:rPr>
          <w:t>دليل</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المجيزين</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من</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المعاصرين</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_Toc444382237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17</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38" w:history="1">
        <w:r w:rsidR="00A41217" w:rsidRPr="000A5EA3">
          <w:rPr>
            <w:rStyle w:val="Hyperlink"/>
            <w:rFonts w:cs="الحوكمي عنوان2" w:hint="cs"/>
            <w:b w:val="0"/>
            <w:bCs w:val="0"/>
            <w:noProof/>
            <w:rtl/>
          </w:rPr>
          <w:t>المصافحة</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لدفع</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الحرج</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عندما</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يبادأ</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المسلم</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بها</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_Toc444382238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19</w:t>
        </w:r>
        <w:r w:rsidR="00A41217" w:rsidRPr="000A5EA3">
          <w:rPr>
            <w:rFonts w:cs="الحوكمي عنوان2"/>
            <w:b w:val="0"/>
            <w:bCs w:val="0"/>
            <w:noProof/>
            <w:webHidden/>
          </w:rPr>
          <w:fldChar w:fldCharType="end"/>
        </w:r>
      </w:hyperlink>
    </w:p>
    <w:p w:rsidR="00A41217" w:rsidRPr="000A5EA3" w:rsidRDefault="000C187B" w:rsidP="000A5EA3">
      <w:pPr>
        <w:pStyle w:val="TOC1"/>
        <w:tabs>
          <w:tab w:val="right" w:leader="dot" w:pos="9964"/>
        </w:tabs>
        <w:bidi/>
        <w:spacing w:before="0" w:line="216" w:lineRule="auto"/>
        <w:rPr>
          <w:rFonts w:ascii="Times New Roman" w:hAnsi="Times New Roman" w:cs="الحوكمي عنوان2"/>
          <w:b w:val="0"/>
          <w:bCs w:val="0"/>
          <w:i w:val="0"/>
          <w:iCs w:val="0"/>
          <w:noProof/>
          <w:szCs w:val="24"/>
        </w:rPr>
      </w:pPr>
      <w:hyperlink w:anchor="_Toc444382239" w:history="1">
        <w:r w:rsidR="00A41217" w:rsidRPr="000A5EA3">
          <w:rPr>
            <w:rStyle w:val="Hyperlink"/>
            <w:rFonts w:cs="الحوكمي عنوان2" w:hint="cs"/>
            <w:b w:val="0"/>
            <w:bCs w:val="0"/>
            <w:i w:val="0"/>
            <w:iCs w:val="0"/>
            <w:noProof/>
            <w:rtl/>
            <w:lang w:bidi="ar-EG"/>
          </w:rPr>
          <w:t>المطلب</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الثاني</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زيارة</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القدس</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في</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ظل</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الأوضاع</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الراهنة</w:t>
        </w:r>
        <w:r w:rsidR="00A41217" w:rsidRPr="000A5EA3">
          <w:rPr>
            <w:rFonts w:cs="الحوكمي عنوان2"/>
            <w:b w:val="0"/>
            <w:bCs w:val="0"/>
            <w:i w:val="0"/>
            <w:iCs w:val="0"/>
            <w:noProof/>
            <w:webHidden/>
          </w:rPr>
          <w:tab/>
        </w:r>
        <w:r w:rsidR="00A41217" w:rsidRPr="000A5EA3">
          <w:rPr>
            <w:rFonts w:cs="الحوكمي عنوان2"/>
            <w:b w:val="0"/>
            <w:bCs w:val="0"/>
            <w:i w:val="0"/>
            <w:iCs w:val="0"/>
            <w:noProof/>
            <w:webHidden/>
          </w:rPr>
          <w:fldChar w:fldCharType="begin"/>
        </w:r>
        <w:r w:rsidR="00A41217" w:rsidRPr="000A5EA3">
          <w:rPr>
            <w:rFonts w:cs="الحوكمي عنوان2"/>
            <w:b w:val="0"/>
            <w:bCs w:val="0"/>
            <w:i w:val="0"/>
            <w:iCs w:val="0"/>
            <w:noProof/>
            <w:webHidden/>
          </w:rPr>
          <w:instrText xml:space="preserve"> PAGEREF _Toc444382239 \h </w:instrText>
        </w:r>
        <w:r w:rsidR="00A41217" w:rsidRPr="000A5EA3">
          <w:rPr>
            <w:rFonts w:cs="الحوكمي عنوان2"/>
            <w:b w:val="0"/>
            <w:bCs w:val="0"/>
            <w:i w:val="0"/>
            <w:iCs w:val="0"/>
            <w:noProof/>
            <w:webHidden/>
          </w:rPr>
        </w:r>
        <w:r w:rsidR="00A41217" w:rsidRPr="000A5EA3">
          <w:rPr>
            <w:rFonts w:cs="الحوكمي عنوان2"/>
            <w:b w:val="0"/>
            <w:bCs w:val="0"/>
            <w:i w:val="0"/>
            <w:iCs w:val="0"/>
            <w:noProof/>
            <w:webHidden/>
          </w:rPr>
          <w:fldChar w:fldCharType="separate"/>
        </w:r>
        <w:r w:rsidR="004F7AD7">
          <w:rPr>
            <w:rFonts w:cs="الحوكمي عنوان2"/>
            <w:b w:val="0"/>
            <w:bCs w:val="0"/>
            <w:i w:val="0"/>
            <w:iCs w:val="0"/>
            <w:noProof/>
            <w:webHidden/>
            <w:rtl/>
          </w:rPr>
          <w:t>21</w:t>
        </w:r>
        <w:r w:rsidR="00A41217" w:rsidRPr="000A5EA3">
          <w:rPr>
            <w:rFonts w:cs="الحوكمي عنوان2"/>
            <w:b w:val="0"/>
            <w:bCs w:val="0"/>
            <w:i w:val="0"/>
            <w:iCs w:val="0"/>
            <w:noProof/>
            <w:webHidden/>
          </w:rPr>
          <w:fldChar w:fldCharType="end"/>
        </w:r>
      </w:hyperlink>
    </w:p>
    <w:p w:rsidR="00A41217" w:rsidRPr="000A5EA3" w:rsidRDefault="000C187B" w:rsidP="000A5EA3">
      <w:pPr>
        <w:pStyle w:val="TOC1"/>
        <w:tabs>
          <w:tab w:val="right" w:leader="dot" w:pos="9964"/>
        </w:tabs>
        <w:bidi/>
        <w:spacing w:before="0" w:line="216" w:lineRule="auto"/>
        <w:rPr>
          <w:rFonts w:ascii="Times New Roman" w:hAnsi="Times New Roman" w:cs="الحوكمي عنوان2"/>
          <w:b w:val="0"/>
          <w:bCs w:val="0"/>
          <w:i w:val="0"/>
          <w:iCs w:val="0"/>
          <w:noProof/>
          <w:szCs w:val="24"/>
        </w:rPr>
      </w:pPr>
      <w:hyperlink w:anchor="_Toc444382240" w:history="1">
        <w:r w:rsidR="00A41217" w:rsidRPr="000A5EA3">
          <w:rPr>
            <w:rStyle w:val="Hyperlink"/>
            <w:rFonts w:cs="الحوكمي عنوان2" w:hint="cs"/>
            <w:b w:val="0"/>
            <w:bCs w:val="0"/>
            <w:i w:val="0"/>
            <w:iCs w:val="0"/>
            <w:noProof/>
            <w:rtl/>
            <w:lang w:bidi="ar-EG"/>
          </w:rPr>
          <w:t>المطلب</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الثالث</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ترويج</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كتب</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ومقالات</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أو</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أشرطة</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فيديو</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يختلط</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فيها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الحق</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والباطل</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أو</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يشوبها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بعض</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المنكرات</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لما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فيها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من</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فائدة</w:t>
        </w:r>
        <w:r w:rsidR="00A41217" w:rsidRPr="000A5EA3">
          <w:rPr>
            <w:rStyle w:val="Hyperlink"/>
            <w:rFonts w:cs="الحوكمي عنوان2"/>
            <w:b w:val="0"/>
            <w:bCs w:val="0"/>
            <w:i w:val="0"/>
            <w:iCs w:val="0"/>
            <w:noProof/>
            <w:rtl/>
            <w:lang w:bidi="ar-EG"/>
          </w:rPr>
          <w:t> </w:t>
        </w:r>
        <w:r w:rsidR="00A41217" w:rsidRPr="000A5EA3">
          <w:rPr>
            <w:rStyle w:val="Hyperlink"/>
            <w:rFonts w:cs="الحوكمي عنوان2" w:hint="cs"/>
            <w:b w:val="0"/>
            <w:bCs w:val="0"/>
            <w:i w:val="0"/>
            <w:iCs w:val="0"/>
            <w:noProof/>
            <w:rtl/>
            <w:lang w:bidi="ar-EG"/>
          </w:rPr>
          <w:t>دعوية</w:t>
        </w:r>
        <w:r w:rsidR="00A41217" w:rsidRPr="000A5EA3">
          <w:rPr>
            <w:rFonts w:cs="الحوكمي عنوان2"/>
            <w:b w:val="0"/>
            <w:bCs w:val="0"/>
            <w:i w:val="0"/>
            <w:iCs w:val="0"/>
            <w:noProof/>
            <w:webHidden/>
          </w:rPr>
          <w:tab/>
        </w:r>
        <w:r w:rsidR="00A41217" w:rsidRPr="000A5EA3">
          <w:rPr>
            <w:rFonts w:cs="الحوكمي عنوان2"/>
            <w:b w:val="0"/>
            <w:bCs w:val="0"/>
            <w:i w:val="0"/>
            <w:iCs w:val="0"/>
            <w:noProof/>
            <w:webHidden/>
          </w:rPr>
          <w:fldChar w:fldCharType="begin"/>
        </w:r>
        <w:r w:rsidR="00A41217" w:rsidRPr="000A5EA3">
          <w:rPr>
            <w:rFonts w:cs="الحوكمي عنوان2"/>
            <w:b w:val="0"/>
            <w:bCs w:val="0"/>
            <w:i w:val="0"/>
            <w:iCs w:val="0"/>
            <w:noProof/>
            <w:webHidden/>
          </w:rPr>
          <w:instrText xml:space="preserve"> PAGEREF _Toc444382240 \h </w:instrText>
        </w:r>
        <w:r w:rsidR="00A41217" w:rsidRPr="000A5EA3">
          <w:rPr>
            <w:rFonts w:cs="الحوكمي عنوان2"/>
            <w:b w:val="0"/>
            <w:bCs w:val="0"/>
            <w:i w:val="0"/>
            <w:iCs w:val="0"/>
            <w:noProof/>
            <w:webHidden/>
          </w:rPr>
        </w:r>
        <w:r w:rsidR="00A41217" w:rsidRPr="000A5EA3">
          <w:rPr>
            <w:rFonts w:cs="الحوكمي عنوان2"/>
            <w:b w:val="0"/>
            <w:bCs w:val="0"/>
            <w:i w:val="0"/>
            <w:iCs w:val="0"/>
            <w:noProof/>
            <w:webHidden/>
          </w:rPr>
          <w:fldChar w:fldCharType="separate"/>
        </w:r>
        <w:r w:rsidR="004F7AD7">
          <w:rPr>
            <w:rFonts w:cs="الحوكمي عنوان2"/>
            <w:b w:val="0"/>
            <w:bCs w:val="0"/>
            <w:i w:val="0"/>
            <w:iCs w:val="0"/>
            <w:noProof/>
            <w:webHidden/>
            <w:rtl/>
          </w:rPr>
          <w:t>22</w:t>
        </w:r>
        <w:r w:rsidR="00A41217" w:rsidRPr="000A5EA3">
          <w:rPr>
            <w:rFonts w:cs="الحوكمي عنوان2"/>
            <w:b w:val="0"/>
            <w:bCs w:val="0"/>
            <w:i w:val="0"/>
            <w:i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41" w:history="1">
        <w:r w:rsidR="00A41217" w:rsidRPr="000A5EA3">
          <w:rPr>
            <w:rStyle w:val="Hyperlink"/>
            <w:rFonts w:cs="الحوكمي عنوان2" w:hint="cs"/>
            <w:b w:val="0"/>
            <w:bCs w:val="0"/>
            <w:noProof/>
            <w:rtl/>
          </w:rPr>
          <w:t>تطبيقات</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عملية</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_Toc444382241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23</w:t>
        </w:r>
        <w:r w:rsidR="00A41217" w:rsidRPr="000A5EA3">
          <w:rPr>
            <w:rFonts w:cs="الحوكمي عنوان2"/>
            <w:b w:val="0"/>
            <w:bCs w:val="0"/>
            <w:noProof/>
            <w:webHidden/>
          </w:rPr>
          <w:fldChar w:fldCharType="end"/>
        </w:r>
      </w:hyperlink>
    </w:p>
    <w:p w:rsidR="00A41217" w:rsidRPr="000A5EA3" w:rsidRDefault="000C187B" w:rsidP="000A5EA3">
      <w:pPr>
        <w:pStyle w:val="TOC3"/>
        <w:tabs>
          <w:tab w:val="right" w:leader="dot" w:pos="9964"/>
        </w:tabs>
        <w:bidi/>
        <w:spacing w:line="216" w:lineRule="auto"/>
        <w:rPr>
          <w:rFonts w:ascii="Times New Roman" w:hAnsi="Times New Roman" w:cs="الحوكمي عنوان2"/>
          <w:noProof/>
          <w:sz w:val="24"/>
        </w:rPr>
      </w:pPr>
      <w:hyperlink w:anchor="_Toc444382242" w:history="1">
        <w:r w:rsidR="00A41217" w:rsidRPr="000A5EA3">
          <w:rPr>
            <w:rStyle w:val="Hyperlink"/>
            <w:rFonts w:cs="الحوكمي عنوان2" w:hint="cs"/>
            <w:noProof/>
            <w:rtl/>
          </w:rPr>
          <w:t>مسلسل</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عمر</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بن</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الخطاب</w:t>
        </w:r>
        <w:r w:rsidR="00A41217" w:rsidRPr="000A5EA3">
          <w:rPr>
            <w:rStyle w:val="Hyperlink"/>
            <w:rFonts w:cs="الحوكمي عنوان2"/>
            <w:noProof/>
            <w:rtl/>
          </w:rPr>
          <w:t>:</w:t>
        </w:r>
        <w:r w:rsidR="00A41217" w:rsidRPr="000A5EA3">
          <w:rPr>
            <w:rFonts w:cs="الحوكمي عنوان2"/>
            <w:noProof/>
            <w:webHidden/>
          </w:rPr>
          <w:tab/>
        </w:r>
        <w:r w:rsidR="00A41217" w:rsidRPr="000A5EA3">
          <w:rPr>
            <w:rFonts w:cs="الحوكمي عنوان2"/>
            <w:noProof/>
            <w:webHidden/>
          </w:rPr>
          <w:fldChar w:fldCharType="begin"/>
        </w:r>
        <w:r w:rsidR="00A41217" w:rsidRPr="000A5EA3">
          <w:rPr>
            <w:rFonts w:cs="الحوكمي عنوان2"/>
            <w:noProof/>
            <w:webHidden/>
          </w:rPr>
          <w:instrText xml:space="preserve"> PAGEREF _Toc444382242 \h </w:instrText>
        </w:r>
        <w:r w:rsidR="00A41217" w:rsidRPr="000A5EA3">
          <w:rPr>
            <w:rFonts w:cs="الحوكمي عنوان2"/>
            <w:noProof/>
            <w:webHidden/>
          </w:rPr>
        </w:r>
        <w:r w:rsidR="00A41217" w:rsidRPr="000A5EA3">
          <w:rPr>
            <w:rFonts w:cs="الحوكمي عنوان2"/>
            <w:noProof/>
            <w:webHidden/>
          </w:rPr>
          <w:fldChar w:fldCharType="separate"/>
        </w:r>
        <w:r w:rsidR="004F7AD7">
          <w:rPr>
            <w:rFonts w:cs="الحوكمي عنوان2"/>
            <w:noProof/>
            <w:webHidden/>
            <w:rtl/>
          </w:rPr>
          <w:t>23</w:t>
        </w:r>
        <w:r w:rsidR="00A41217" w:rsidRPr="000A5EA3">
          <w:rPr>
            <w:rFonts w:cs="الحوكمي عنوان2"/>
            <w:noProof/>
            <w:webHidden/>
          </w:rPr>
          <w:fldChar w:fldCharType="end"/>
        </w:r>
      </w:hyperlink>
    </w:p>
    <w:p w:rsidR="00A41217" w:rsidRPr="000A5EA3" w:rsidRDefault="000C187B" w:rsidP="000A5EA3">
      <w:pPr>
        <w:pStyle w:val="TOC3"/>
        <w:tabs>
          <w:tab w:val="right" w:leader="dot" w:pos="9964"/>
        </w:tabs>
        <w:bidi/>
        <w:spacing w:line="216" w:lineRule="auto"/>
        <w:rPr>
          <w:rFonts w:ascii="Times New Roman" w:hAnsi="Times New Roman" w:cs="الحوكمي عنوان2"/>
          <w:noProof/>
          <w:sz w:val="24"/>
        </w:rPr>
      </w:pPr>
      <w:hyperlink w:anchor="_Toc444382243" w:history="1">
        <w:r w:rsidR="00A41217" w:rsidRPr="000A5EA3">
          <w:rPr>
            <w:rStyle w:val="Hyperlink"/>
            <w:rFonts w:cs="الحوكمي عنوان2" w:hint="cs"/>
            <w:noProof/>
            <w:rtl/>
          </w:rPr>
          <w:t>كتب</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بعض</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المخالفين</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من</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غير</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المسلمين</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في</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الرد</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على</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الملحدين</w:t>
        </w:r>
        <w:r w:rsidR="00A41217" w:rsidRPr="000A5EA3">
          <w:rPr>
            <w:rStyle w:val="Hyperlink"/>
            <w:rFonts w:cs="الحوكمي عنوان2"/>
            <w:noProof/>
            <w:rtl/>
          </w:rPr>
          <w:t>:</w:t>
        </w:r>
        <w:r w:rsidR="00A41217" w:rsidRPr="000A5EA3">
          <w:rPr>
            <w:rFonts w:cs="الحوكمي عنوان2"/>
            <w:noProof/>
            <w:webHidden/>
          </w:rPr>
          <w:tab/>
        </w:r>
        <w:r w:rsidR="00A41217" w:rsidRPr="000A5EA3">
          <w:rPr>
            <w:rFonts w:cs="الحوكمي عنوان2"/>
            <w:noProof/>
            <w:webHidden/>
          </w:rPr>
          <w:fldChar w:fldCharType="begin"/>
        </w:r>
        <w:r w:rsidR="00A41217" w:rsidRPr="000A5EA3">
          <w:rPr>
            <w:rFonts w:cs="الحوكمي عنوان2"/>
            <w:noProof/>
            <w:webHidden/>
          </w:rPr>
          <w:instrText xml:space="preserve"> PAGEREF _Toc444382243 \h </w:instrText>
        </w:r>
        <w:r w:rsidR="00A41217" w:rsidRPr="000A5EA3">
          <w:rPr>
            <w:rFonts w:cs="الحوكمي عنوان2"/>
            <w:noProof/>
            <w:webHidden/>
          </w:rPr>
        </w:r>
        <w:r w:rsidR="00A41217" w:rsidRPr="000A5EA3">
          <w:rPr>
            <w:rFonts w:cs="الحوكمي عنوان2"/>
            <w:noProof/>
            <w:webHidden/>
          </w:rPr>
          <w:fldChar w:fldCharType="separate"/>
        </w:r>
        <w:r w:rsidR="004F7AD7">
          <w:rPr>
            <w:rFonts w:cs="الحوكمي عنوان2"/>
            <w:noProof/>
            <w:webHidden/>
            <w:rtl/>
          </w:rPr>
          <w:t>23</w:t>
        </w:r>
        <w:r w:rsidR="00A41217" w:rsidRPr="000A5EA3">
          <w:rPr>
            <w:rFonts w:cs="الحوكمي عنوان2"/>
            <w:noProof/>
            <w:webHidden/>
          </w:rPr>
          <w:fldChar w:fldCharType="end"/>
        </w:r>
      </w:hyperlink>
    </w:p>
    <w:p w:rsidR="00A41217" w:rsidRPr="000A5EA3" w:rsidRDefault="000C187B" w:rsidP="000A5EA3">
      <w:pPr>
        <w:pStyle w:val="TOC1"/>
        <w:tabs>
          <w:tab w:val="right" w:leader="dot" w:pos="9964"/>
        </w:tabs>
        <w:bidi/>
        <w:spacing w:before="0" w:line="216" w:lineRule="auto"/>
        <w:rPr>
          <w:rFonts w:ascii="Times New Roman" w:hAnsi="Times New Roman" w:cs="الحوكمي عنوان2"/>
          <w:b w:val="0"/>
          <w:bCs w:val="0"/>
          <w:i w:val="0"/>
          <w:iCs w:val="0"/>
          <w:noProof/>
          <w:szCs w:val="24"/>
        </w:rPr>
      </w:pPr>
      <w:hyperlink w:anchor="_Toc444382244" w:history="1">
        <w:r w:rsidR="00A41217" w:rsidRPr="000A5EA3">
          <w:rPr>
            <w:rStyle w:val="Hyperlink"/>
            <w:rFonts w:cs="الحوكمي عنوان2" w:hint="cs"/>
            <w:b w:val="0"/>
            <w:bCs w:val="0"/>
            <w:i w:val="0"/>
            <w:iCs w:val="0"/>
            <w:noProof/>
            <w:rtl/>
            <w:lang w:bidi="ar-EG"/>
          </w:rPr>
          <w:t>المطلب</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الرابع</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نازلة</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إباحة</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زواج</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المثليين،</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والموقف</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الصحيح</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تجاه</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هذه</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النازلة</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فقهيا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ودعويا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وسياسيا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وإعلاميا</w:t>
        </w:r>
        <w:r w:rsidR="00A41217" w:rsidRPr="000A5EA3">
          <w:rPr>
            <w:rStyle w:val="Hyperlink"/>
            <w:rFonts w:cs="الحوكمي عنوان2"/>
            <w:b w:val="0"/>
            <w:bCs w:val="0"/>
            <w:i w:val="0"/>
            <w:iCs w:val="0"/>
            <w:noProof/>
            <w:rtl/>
            <w:lang w:bidi="ar-EG"/>
          </w:rPr>
          <w:t xml:space="preserve"> </w:t>
        </w:r>
        <w:r w:rsidR="00A41217" w:rsidRPr="000A5EA3">
          <w:rPr>
            <w:rStyle w:val="Hyperlink"/>
            <w:rFonts w:cs="الحوكمي عنوان2" w:hint="cs"/>
            <w:b w:val="0"/>
            <w:bCs w:val="0"/>
            <w:i w:val="0"/>
            <w:iCs w:val="0"/>
            <w:noProof/>
            <w:rtl/>
            <w:lang w:bidi="ar-EG"/>
          </w:rPr>
          <w:t>وقانونيا</w:t>
        </w:r>
        <w:r w:rsidR="00A41217" w:rsidRPr="000A5EA3">
          <w:rPr>
            <w:rFonts w:cs="الحوكمي عنوان2"/>
            <w:b w:val="0"/>
            <w:bCs w:val="0"/>
            <w:i w:val="0"/>
            <w:iCs w:val="0"/>
            <w:noProof/>
            <w:webHidden/>
          </w:rPr>
          <w:tab/>
        </w:r>
        <w:r w:rsidR="00A41217" w:rsidRPr="000A5EA3">
          <w:rPr>
            <w:rFonts w:cs="الحوكمي عنوان2"/>
            <w:b w:val="0"/>
            <w:bCs w:val="0"/>
            <w:i w:val="0"/>
            <w:iCs w:val="0"/>
            <w:noProof/>
            <w:webHidden/>
          </w:rPr>
          <w:fldChar w:fldCharType="begin"/>
        </w:r>
        <w:r w:rsidR="00A41217" w:rsidRPr="000A5EA3">
          <w:rPr>
            <w:rFonts w:cs="الحوكمي عنوان2"/>
            <w:b w:val="0"/>
            <w:bCs w:val="0"/>
            <w:i w:val="0"/>
            <w:iCs w:val="0"/>
            <w:noProof/>
            <w:webHidden/>
          </w:rPr>
          <w:instrText xml:space="preserve"> PAGEREF _Toc444382244 \h </w:instrText>
        </w:r>
        <w:r w:rsidR="00A41217" w:rsidRPr="000A5EA3">
          <w:rPr>
            <w:rFonts w:cs="الحوكمي عنوان2"/>
            <w:b w:val="0"/>
            <w:bCs w:val="0"/>
            <w:i w:val="0"/>
            <w:iCs w:val="0"/>
            <w:noProof/>
            <w:webHidden/>
          </w:rPr>
        </w:r>
        <w:r w:rsidR="00A41217" w:rsidRPr="000A5EA3">
          <w:rPr>
            <w:rFonts w:cs="الحوكمي عنوان2"/>
            <w:b w:val="0"/>
            <w:bCs w:val="0"/>
            <w:i w:val="0"/>
            <w:iCs w:val="0"/>
            <w:noProof/>
            <w:webHidden/>
          </w:rPr>
          <w:fldChar w:fldCharType="separate"/>
        </w:r>
        <w:r w:rsidR="004F7AD7">
          <w:rPr>
            <w:rFonts w:cs="الحوكمي عنوان2"/>
            <w:b w:val="0"/>
            <w:bCs w:val="0"/>
            <w:i w:val="0"/>
            <w:iCs w:val="0"/>
            <w:noProof/>
            <w:webHidden/>
            <w:rtl/>
          </w:rPr>
          <w:t>24</w:t>
        </w:r>
        <w:r w:rsidR="00A41217" w:rsidRPr="000A5EA3">
          <w:rPr>
            <w:rFonts w:cs="الحوكمي عنوان2"/>
            <w:b w:val="0"/>
            <w:bCs w:val="0"/>
            <w:i w:val="0"/>
            <w:i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45" w:history="1">
        <w:r w:rsidR="00A41217" w:rsidRPr="000A5EA3">
          <w:rPr>
            <w:rStyle w:val="Hyperlink"/>
            <w:rFonts w:cs="الحوكمي عنوان2" w:hint="cs"/>
            <w:b w:val="0"/>
            <w:bCs w:val="0"/>
            <w:noProof/>
            <w:rtl/>
          </w:rPr>
          <w:t>أولاً</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وجوب</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البيان</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_Toc444382245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24</w:t>
        </w:r>
        <w:r w:rsidR="00A41217" w:rsidRPr="000A5EA3">
          <w:rPr>
            <w:rFonts w:cs="الحوكمي عنوان2"/>
            <w:b w:val="0"/>
            <w:bCs w:val="0"/>
            <w:noProof/>
            <w:webHidden/>
          </w:rPr>
          <w:fldChar w:fldCharType="end"/>
        </w:r>
      </w:hyperlink>
    </w:p>
    <w:p w:rsidR="00A41217" w:rsidRPr="000A5EA3" w:rsidRDefault="000C187B" w:rsidP="000A5EA3">
      <w:pPr>
        <w:pStyle w:val="TOC2"/>
        <w:tabs>
          <w:tab w:val="right" w:leader="dot" w:pos="9964"/>
        </w:tabs>
        <w:bidi/>
        <w:spacing w:before="0" w:line="216" w:lineRule="auto"/>
        <w:rPr>
          <w:rFonts w:ascii="Times New Roman" w:hAnsi="Times New Roman" w:cs="الحوكمي عنوان2"/>
          <w:b w:val="0"/>
          <w:bCs w:val="0"/>
          <w:noProof/>
          <w:sz w:val="24"/>
          <w:szCs w:val="24"/>
        </w:rPr>
      </w:pPr>
      <w:hyperlink w:anchor="_Toc444382246" w:history="1">
        <w:r w:rsidR="00A41217" w:rsidRPr="000A5EA3">
          <w:rPr>
            <w:rStyle w:val="Hyperlink"/>
            <w:rFonts w:cs="الحوكمي عنوان2" w:hint="cs"/>
            <w:b w:val="0"/>
            <w:bCs w:val="0"/>
            <w:noProof/>
            <w:rtl/>
          </w:rPr>
          <w:t>ثانيًا</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عدم</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التورط</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في</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الصراع</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الإعلامي</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والقانوني</w:t>
        </w:r>
        <w:r w:rsidR="00A41217" w:rsidRPr="000A5EA3">
          <w:rPr>
            <w:rStyle w:val="Hyperlink"/>
            <w:rFonts w:cs="الحوكمي عنوان2"/>
            <w:b w:val="0"/>
            <w:bCs w:val="0"/>
            <w:noProof/>
            <w:rtl/>
          </w:rPr>
          <w:t xml:space="preserve"> </w:t>
        </w:r>
        <w:r w:rsidR="00A41217" w:rsidRPr="000A5EA3">
          <w:rPr>
            <w:rStyle w:val="Hyperlink"/>
            <w:rFonts w:cs="الحوكمي عنوان2" w:hint="cs"/>
            <w:b w:val="0"/>
            <w:bCs w:val="0"/>
            <w:noProof/>
            <w:rtl/>
          </w:rPr>
          <w:t>والسياسي</w:t>
        </w:r>
        <w:r w:rsidR="00A41217" w:rsidRPr="000A5EA3">
          <w:rPr>
            <w:rStyle w:val="Hyperlink"/>
            <w:rFonts w:cs="الحوكمي عنوان2"/>
            <w:b w:val="0"/>
            <w:bCs w:val="0"/>
            <w:noProof/>
            <w:rtl/>
          </w:rPr>
          <w:t>:</w:t>
        </w:r>
        <w:r w:rsidR="00A41217" w:rsidRPr="000A5EA3">
          <w:rPr>
            <w:rFonts w:cs="الحوكمي عنوان2"/>
            <w:b w:val="0"/>
            <w:bCs w:val="0"/>
            <w:noProof/>
            <w:webHidden/>
          </w:rPr>
          <w:tab/>
        </w:r>
        <w:r w:rsidR="00A41217" w:rsidRPr="000A5EA3">
          <w:rPr>
            <w:rFonts w:cs="الحوكمي عنوان2"/>
            <w:b w:val="0"/>
            <w:bCs w:val="0"/>
            <w:noProof/>
            <w:webHidden/>
          </w:rPr>
          <w:fldChar w:fldCharType="begin"/>
        </w:r>
        <w:r w:rsidR="00A41217" w:rsidRPr="000A5EA3">
          <w:rPr>
            <w:rFonts w:cs="الحوكمي عنوان2"/>
            <w:b w:val="0"/>
            <w:bCs w:val="0"/>
            <w:noProof/>
            <w:webHidden/>
          </w:rPr>
          <w:instrText xml:space="preserve"> PAGEREF _Toc444382246 \h </w:instrText>
        </w:r>
        <w:r w:rsidR="00A41217" w:rsidRPr="000A5EA3">
          <w:rPr>
            <w:rFonts w:cs="الحوكمي عنوان2"/>
            <w:b w:val="0"/>
            <w:bCs w:val="0"/>
            <w:noProof/>
            <w:webHidden/>
          </w:rPr>
        </w:r>
        <w:r w:rsidR="00A41217" w:rsidRPr="000A5EA3">
          <w:rPr>
            <w:rFonts w:cs="الحوكمي عنوان2"/>
            <w:b w:val="0"/>
            <w:bCs w:val="0"/>
            <w:noProof/>
            <w:webHidden/>
          </w:rPr>
          <w:fldChar w:fldCharType="separate"/>
        </w:r>
        <w:r w:rsidR="004F7AD7">
          <w:rPr>
            <w:rFonts w:cs="الحوكمي عنوان2"/>
            <w:b w:val="0"/>
            <w:bCs w:val="0"/>
            <w:noProof/>
            <w:webHidden/>
            <w:rtl/>
          </w:rPr>
          <w:t>25</w:t>
        </w:r>
        <w:r w:rsidR="00A41217" w:rsidRPr="000A5EA3">
          <w:rPr>
            <w:rFonts w:cs="الحوكمي عنوان2"/>
            <w:b w:val="0"/>
            <w:bCs w:val="0"/>
            <w:noProof/>
            <w:webHidden/>
          </w:rPr>
          <w:fldChar w:fldCharType="end"/>
        </w:r>
      </w:hyperlink>
    </w:p>
    <w:p w:rsidR="00A41217" w:rsidRPr="000A5EA3" w:rsidRDefault="000C187B" w:rsidP="000A5EA3">
      <w:pPr>
        <w:pStyle w:val="TOC3"/>
        <w:tabs>
          <w:tab w:val="right" w:leader="dot" w:pos="9964"/>
        </w:tabs>
        <w:bidi/>
        <w:spacing w:line="216" w:lineRule="auto"/>
        <w:rPr>
          <w:rFonts w:ascii="Times New Roman" w:hAnsi="Times New Roman" w:cs="الحوكمي عنوان2"/>
          <w:noProof/>
          <w:sz w:val="24"/>
        </w:rPr>
      </w:pPr>
      <w:hyperlink w:anchor="_Toc444382247" w:history="1">
        <w:r w:rsidR="00A41217" w:rsidRPr="000A5EA3">
          <w:rPr>
            <w:rStyle w:val="Hyperlink"/>
            <w:rFonts w:cs="الحوكمي عنوان2" w:hint="cs"/>
            <w:noProof/>
            <w:rtl/>
          </w:rPr>
          <w:t>التدرج</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في</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عرض</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الإسلام</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وترتيب</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الأولويات</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في</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إطار</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الممكن</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والمقدور</w:t>
        </w:r>
        <w:r w:rsidR="00A41217" w:rsidRPr="000A5EA3">
          <w:rPr>
            <w:rStyle w:val="Hyperlink"/>
            <w:rFonts w:cs="الحوكمي عنوان2"/>
            <w:noProof/>
            <w:rtl/>
          </w:rPr>
          <w:t>:</w:t>
        </w:r>
        <w:r w:rsidR="00A41217" w:rsidRPr="000A5EA3">
          <w:rPr>
            <w:rFonts w:cs="الحوكمي عنوان2"/>
            <w:noProof/>
            <w:webHidden/>
          </w:rPr>
          <w:tab/>
        </w:r>
        <w:r w:rsidR="00A41217" w:rsidRPr="000A5EA3">
          <w:rPr>
            <w:rFonts w:cs="الحوكمي عنوان2"/>
            <w:noProof/>
            <w:webHidden/>
          </w:rPr>
          <w:fldChar w:fldCharType="begin"/>
        </w:r>
        <w:r w:rsidR="00A41217" w:rsidRPr="000A5EA3">
          <w:rPr>
            <w:rFonts w:cs="الحوكمي عنوان2"/>
            <w:noProof/>
            <w:webHidden/>
          </w:rPr>
          <w:instrText xml:space="preserve"> PAGEREF _Toc444382247 \h </w:instrText>
        </w:r>
        <w:r w:rsidR="00A41217" w:rsidRPr="000A5EA3">
          <w:rPr>
            <w:rFonts w:cs="الحوكمي عنوان2"/>
            <w:noProof/>
            <w:webHidden/>
          </w:rPr>
        </w:r>
        <w:r w:rsidR="00A41217" w:rsidRPr="000A5EA3">
          <w:rPr>
            <w:rFonts w:cs="الحوكمي عنوان2"/>
            <w:noProof/>
            <w:webHidden/>
          </w:rPr>
          <w:fldChar w:fldCharType="separate"/>
        </w:r>
        <w:r w:rsidR="004F7AD7">
          <w:rPr>
            <w:rFonts w:cs="الحوكمي عنوان2"/>
            <w:noProof/>
            <w:webHidden/>
            <w:rtl/>
          </w:rPr>
          <w:t>25</w:t>
        </w:r>
        <w:r w:rsidR="00A41217" w:rsidRPr="000A5EA3">
          <w:rPr>
            <w:rFonts w:cs="الحوكمي عنوان2"/>
            <w:noProof/>
            <w:webHidden/>
          </w:rPr>
          <w:fldChar w:fldCharType="end"/>
        </w:r>
      </w:hyperlink>
    </w:p>
    <w:p w:rsidR="00A41217" w:rsidRPr="000A5EA3" w:rsidRDefault="000C187B" w:rsidP="000A5EA3">
      <w:pPr>
        <w:pStyle w:val="TOC3"/>
        <w:tabs>
          <w:tab w:val="right" w:leader="dot" w:pos="9964"/>
        </w:tabs>
        <w:bidi/>
        <w:spacing w:line="216" w:lineRule="auto"/>
        <w:rPr>
          <w:rFonts w:ascii="Times New Roman" w:hAnsi="Times New Roman" w:cs="الحوكمي عنوان2"/>
          <w:noProof/>
          <w:sz w:val="24"/>
        </w:rPr>
      </w:pPr>
      <w:hyperlink w:anchor="_Toc444382248" w:history="1">
        <w:r w:rsidR="00A41217" w:rsidRPr="000A5EA3">
          <w:rPr>
            <w:rStyle w:val="Hyperlink"/>
            <w:rFonts w:cs="الحوكمي عنوان2" w:hint="cs"/>
            <w:noProof/>
            <w:rtl/>
          </w:rPr>
          <w:t>الإشكالية</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الإعلامية</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والسياسية</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في</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الانخراط</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في</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هذا</w:t>
        </w:r>
        <w:r w:rsidR="00A41217" w:rsidRPr="000A5EA3">
          <w:rPr>
            <w:rStyle w:val="Hyperlink"/>
            <w:rFonts w:cs="الحوكمي عنوان2"/>
            <w:noProof/>
            <w:rtl/>
          </w:rPr>
          <w:t xml:space="preserve"> </w:t>
        </w:r>
        <w:r w:rsidR="00A41217" w:rsidRPr="000A5EA3">
          <w:rPr>
            <w:rStyle w:val="Hyperlink"/>
            <w:rFonts w:cs="الحوكمي عنوان2" w:hint="cs"/>
            <w:noProof/>
            <w:rtl/>
          </w:rPr>
          <w:t>الصراع</w:t>
        </w:r>
        <w:r w:rsidR="00A41217" w:rsidRPr="000A5EA3">
          <w:rPr>
            <w:rStyle w:val="Hyperlink"/>
            <w:rFonts w:cs="الحوكمي عنوان2"/>
            <w:noProof/>
            <w:rtl/>
          </w:rPr>
          <w:t>:</w:t>
        </w:r>
        <w:r w:rsidR="00A41217" w:rsidRPr="000A5EA3">
          <w:rPr>
            <w:rFonts w:cs="الحوكمي عنوان2"/>
            <w:noProof/>
            <w:webHidden/>
          </w:rPr>
          <w:tab/>
        </w:r>
        <w:r w:rsidR="00A41217" w:rsidRPr="000A5EA3">
          <w:rPr>
            <w:rFonts w:cs="الحوكمي عنوان2"/>
            <w:noProof/>
            <w:webHidden/>
          </w:rPr>
          <w:fldChar w:fldCharType="begin"/>
        </w:r>
        <w:r w:rsidR="00A41217" w:rsidRPr="000A5EA3">
          <w:rPr>
            <w:rFonts w:cs="الحوكمي عنوان2"/>
            <w:noProof/>
            <w:webHidden/>
          </w:rPr>
          <w:instrText xml:space="preserve"> PAGEREF _Toc444382248 \h </w:instrText>
        </w:r>
        <w:r w:rsidR="00A41217" w:rsidRPr="000A5EA3">
          <w:rPr>
            <w:rFonts w:cs="الحوكمي عنوان2"/>
            <w:noProof/>
            <w:webHidden/>
          </w:rPr>
        </w:r>
        <w:r w:rsidR="00A41217" w:rsidRPr="000A5EA3">
          <w:rPr>
            <w:rFonts w:cs="الحوكمي عنوان2"/>
            <w:noProof/>
            <w:webHidden/>
          </w:rPr>
          <w:fldChar w:fldCharType="separate"/>
        </w:r>
        <w:r w:rsidR="004F7AD7">
          <w:rPr>
            <w:rFonts w:cs="الحوكمي عنوان2"/>
            <w:noProof/>
            <w:webHidden/>
            <w:rtl/>
          </w:rPr>
          <w:t>27</w:t>
        </w:r>
        <w:r w:rsidR="00A41217" w:rsidRPr="000A5EA3">
          <w:rPr>
            <w:rFonts w:cs="الحوكمي عنوان2"/>
            <w:noProof/>
            <w:webHidden/>
          </w:rPr>
          <w:fldChar w:fldCharType="end"/>
        </w:r>
      </w:hyperlink>
    </w:p>
    <w:p w:rsidR="00A41217" w:rsidRPr="000A5EA3" w:rsidRDefault="000C187B" w:rsidP="000A5EA3">
      <w:pPr>
        <w:pStyle w:val="TOC1"/>
        <w:tabs>
          <w:tab w:val="right" w:leader="dot" w:pos="9964"/>
        </w:tabs>
        <w:bidi/>
        <w:spacing w:before="0" w:line="216" w:lineRule="auto"/>
        <w:rPr>
          <w:rFonts w:ascii="Times New Roman" w:hAnsi="Times New Roman" w:cs="الحوكمي عنوان2"/>
          <w:b w:val="0"/>
          <w:bCs w:val="0"/>
          <w:i w:val="0"/>
          <w:iCs w:val="0"/>
          <w:noProof/>
          <w:szCs w:val="24"/>
        </w:rPr>
      </w:pPr>
      <w:hyperlink w:anchor="_Toc444382249" w:history="1">
        <w:r w:rsidR="00A41217" w:rsidRPr="000A5EA3">
          <w:rPr>
            <w:rStyle w:val="Hyperlink"/>
            <w:rFonts w:cs="الحوكمي عنوان2" w:hint="cs"/>
            <w:b w:val="0"/>
            <w:bCs w:val="0"/>
            <w:i w:val="0"/>
            <w:iCs w:val="0"/>
            <w:noProof/>
            <w:rtl/>
          </w:rPr>
          <w:t>المراجع</w:t>
        </w:r>
        <w:r w:rsidR="00A41217" w:rsidRPr="000A5EA3">
          <w:rPr>
            <w:rFonts w:cs="الحوكمي عنوان2"/>
            <w:b w:val="0"/>
            <w:bCs w:val="0"/>
            <w:i w:val="0"/>
            <w:iCs w:val="0"/>
            <w:noProof/>
            <w:webHidden/>
          </w:rPr>
          <w:tab/>
        </w:r>
        <w:r w:rsidR="00A41217" w:rsidRPr="000A5EA3">
          <w:rPr>
            <w:rFonts w:cs="الحوكمي عنوان2"/>
            <w:b w:val="0"/>
            <w:bCs w:val="0"/>
            <w:i w:val="0"/>
            <w:iCs w:val="0"/>
            <w:noProof/>
            <w:webHidden/>
          </w:rPr>
          <w:fldChar w:fldCharType="begin"/>
        </w:r>
        <w:r w:rsidR="00A41217" w:rsidRPr="000A5EA3">
          <w:rPr>
            <w:rFonts w:cs="الحوكمي عنوان2"/>
            <w:b w:val="0"/>
            <w:bCs w:val="0"/>
            <w:i w:val="0"/>
            <w:iCs w:val="0"/>
            <w:noProof/>
            <w:webHidden/>
          </w:rPr>
          <w:instrText xml:space="preserve"> PAGEREF _Toc444382249 \h </w:instrText>
        </w:r>
        <w:r w:rsidR="00A41217" w:rsidRPr="000A5EA3">
          <w:rPr>
            <w:rFonts w:cs="الحوكمي عنوان2"/>
            <w:b w:val="0"/>
            <w:bCs w:val="0"/>
            <w:i w:val="0"/>
            <w:iCs w:val="0"/>
            <w:noProof/>
            <w:webHidden/>
          </w:rPr>
        </w:r>
        <w:r w:rsidR="00A41217" w:rsidRPr="000A5EA3">
          <w:rPr>
            <w:rFonts w:cs="الحوكمي عنوان2"/>
            <w:b w:val="0"/>
            <w:bCs w:val="0"/>
            <w:i w:val="0"/>
            <w:iCs w:val="0"/>
            <w:noProof/>
            <w:webHidden/>
          </w:rPr>
          <w:fldChar w:fldCharType="separate"/>
        </w:r>
        <w:r w:rsidR="004F7AD7">
          <w:rPr>
            <w:rFonts w:cs="الحوكمي عنوان2"/>
            <w:b w:val="0"/>
            <w:bCs w:val="0"/>
            <w:i w:val="0"/>
            <w:iCs w:val="0"/>
            <w:noProof/>
            <w:webHidden/>
            <w:rtl/>
          </w:rPr>
          <w:t>28</w:t>
        </w:r>
        <w:r w:rsidR="00A41217" w:rsidRPr="000A5EA3">
          <w:rPr>
            <w:rFonts w:cs="الحوكمي عنوان2"/>
            <w:b w:val="0"/>
            <w:bCs w:val="0"/>
            <w:i w:val="0"/>
            <w:iCs w:val="0"/>
            <w:noProof/>
            <w:webHidden/>
          </w:rPr>
          <w:fldChar w:fldCharType="end"/>
        </w:r>
      </w:hyperlink>
    </w:p>
    <w:p w:rsidR="00A41217" w:rsidRPr="00BA409D" w:rsidRDefault="00A41217" w:rsidP="000A5EA3">
      <w:pPr>
        <w:widowControl w:val="0"/>
        <w:bidi/>
        <w:spacing w:after="0" w:line="216" w:lineRule="auto"/>
        <w:jc w:val="lowKashida"/>
        <w:rPr>
          <w:rFonts w:ascii="Traditional Arabic" w:hAnsi="Traditional Arabic" w:cs="Lotus Linotype"/>
          <w:sz w:val="36"/>
          <w:szCs w:val="28"/>
          <w:rtl/>
          <w:lang w:bidi="ar-EG"/>
        </w:rPr>
      </w:pPr>
      <w:r w:rsidRPr="000A5EA3">
        <w:rPr>
          <w:rFonts w:ascii="Traditional Arabic" w:hAnsi="Traditional Arabic" w:cs="الحوكمي عنوان2"/>
          <w:b/>
          <w:bCs/>
          <w:i/>
          <w:iCs/>
          <w:sz w:val="32"/>
          <w:szCs w:val="26"/>
          <w:rtl/>
          <w:lang w:bidi="ar-EG"/>
        </w:rPr>
        <w:fldChar w:fldCharType="end"/>
      </w:r>
    </w:p>
    <w:p w:rsidR="00A41217" w:rsidRPr="00BA409D" w:rsidRDefault="00A41217" w:rsidP="00BA409D">
      <w:pPr>
        <w:widowControl w:val="0"/>
        <w:bidi/>
        <w:spacing w:after="0" w:line="216" w:lineRule="auto"/>
        <w:jc w:val="lowKashida"/>
        <w:rPr>
          <w:rFonts w:ascii="Traditional Arabic" w:hAnsi="Traditional Arabic" w:cs="Lotus Linotype"/>
          <w:sz w:val="36"/>
          <w:szCs w:val="28"/>
          <w:rtl/>
          <w:lang w:bidi="ar-EG"/>
        </w:rPr>
      </w:pPr>
    </w:p>
    <w:p w:rsidR="00A41217" w:rsidRPr="00BA409D" w:rsidRDefault="00A41217" w:rsidP="00BA409D">
      <w:pPr>
        <w:widowControl w:val="0"/>
        <w:bidi/>
        <w:spacing w:after="0" w:line="216" w:lineRule="auto"/>
        <w:jc w:val="lowKashida"/>
        <w:rPr>
          <w:rFonts w:ascii="Traditional Arabic" w:hAnsi="Traditional Arabic" w:cs="Lotus Linotype"/>
          <w:sz w:val="16"/>
          <w:szCs w:val="8"/>
          <w:rtl/>
          <w:lang w:bidi="ar-EG"/>
        </w:rPr>
      </w:pPr>
    </w:p>
    <w:p w:rsidR="00A41217" w:rsidRPr="00BA409D" w:rsidRDefault="00A41217" w:rsidP="00BA409D">
      <w:pPr>
        <w:widowControl w:val="0"/>
        <w:bidi/>
        <w:spacing w:after="0" w:line="216" w:lineRule="auto"/>
        <w:rPr>
          <w:rFonts w:ascii="Traditional Arabic" w:hAnsi="Traditional Arabic" w:cs="Lotus Linotype"/>
          <w:sz w:val="16"/>
          <w:szCs w:val="8"/>
          <w:rtl/>
          <w:lang w:bidi="ar-EG"/>
        </w:rPr>
      </w:pPr>
    </w:p>
    <w:p w:rsidR="00A41217" w:rsidRPr="00BA409D" w:rsidRDefault="00A41217" w:rsidP="00BA409D">
      <w:pPr>
        <w:widowControl w:val="0"/>
        <w:bidi/>
        <w:spacing w:after="0" w:line="216" w:lineRule="auto"/>
        <w:jc w:val="center"/>
        <w:rPr>
          <w:rFonts w:ascii="Traditional Arabic" w:hAnsi="Traditional Arabic" w:cs="Lotus Linotype"/>
          <w:sz w:val="16"/>
          <w:szCs w:val="8"/>
          <w:rtl/>
        </w:rPr>
      </w:pPr>
      <w:r w:rsidRPr="00BA409D">
        <w:rPr>
          <w:rFonts w:ascii="Traditional Arabic" w:hAnsi="Traditional Arabic" w:cs="Lotus Linotype"/>
          <w:sz w:val="16"/>
          <w:szCs w:val="8"/>
          <w:rtl/>
        </w:rPr>
        <w:br w:type="page"/>
      </w:r>
    </w:p>
    <w:p w:rsidR="00A41217" w:rsidRPr="000C7E4D" w:rsidRDefault="00A41217" w:rsidP="00BA409D">
      <w:pPr>
        <w:widowControl w:val="0"/>
        <w:bidi/>
        <w:spacing w:after="0" w:line="216" w:lineRule="auto"/>
        <w:jc w:val="center"/>
        <w:outlineLvl w:val="0"/>
        <w:rPr>
          <w:rFonts w:cs="الحوكمي عنوان2"/>
          <w:sz w:val="42"/>
          <w:szCs w:val="42"/>
          <w:rtl/>
        </w:rPr>
      </w:pPr>
      <w:bookmarkStart w:id="7" w:name="_Toc444382224"/>
      <w:r w:rsidRPr="000C7E4D">
        <w:rPr>
          <w:rFonts w:cs="الحوكمي عنوان2" w:hint="cs"/>
          <w:sz w:val="42"/>
          <w:szCs w:val="42"/>
          <w:rtl/>
        </w:rPr>
        <w:t>تمهيد</w:t>
      </w:r>
      <w:bookmarkEnd w:id="6"/>
      <w:bookmarkEnd w:id="7"/>
    </w:p>
    <w:p w:rsidR="00A41217" w:rsidRPr="00BA409D" w:rsidRDefault="00A41217" w:rsidP="000C7E4D">
      <w:pPr>
        <w:pStyle w:val="NoSpacing"/>
        <w:widowControl w:val="0"/>
        <w:spacing w:before="180" w:line="216" w:lineRule="auto"/>
        <w:ind w:firstLine="425"/>
        <w:jc w:val="lowKashida"/>
        <w:rPr>
          <w:rFonts w:cs="Lotus Linotype"/>
          <w:szCs w:val="28"/>
          <w:rtl/>
        </w:rPr>
      </w:pPr>
      <w:r w:rsidRPr="00BA409D">
        <w:rPr>
          <w:rFonts w:cs="Lotus Linotype"/>
          <w:szCs w:val="28"/>
          <w:rtl/>
        </w:rPr>
        <w:t>إن الحمد لله نحمده ونستعينه ونستغفره، ونعوذ بالله من شرور أنفسنا ومن سيئات أعمالنا، من يهده الله فلا مضل له ومن يضلل فلا هادي له، وأشهد ألا إله إلا الله وحده لا شريك له وأشهد أن محمدًا عبده ورسولهﷺ؛ أما بعد،</w:t>
      </w:r>
    </w:p>
    <w:p w:rsidR="00A41217" w:rsidRPr="00BA409D" w:rsidRDefault="00A41217" w:rsidP="000C7E4D">
      <w:pPr>
        <w:pStyle w:val="NoSpacing"/>
        <w:widowControl w:val="0"/>
        <w:spacing w:before="180" w:line="216" w:lineRule="auto"/>
        <w:ind w:firstLine="425"/>
        <w:jc w:val="lowKashida"/>
        <w:rPr>
          <w:rFonts w:cs="Lotus Linotype"/>
          <w:szCs w:val="28"/>
          <w:rtl/>
        </w:rPr>
      </w:pPr>
      <w:r w:rsidRPr="00BA409D">
        <w:rPr>
          <w:rFonts w:cs="Lotus Linotype"/>
          <w:szCs w:val="28"/>
          <w:rtl/>
        </w:rPr>
        <w:t>فقد طلبت مني إدارة مجمع فقهاء الشريعة بأمريكا كتابة بحث فقهي عن بعض المسائل الدعوية لتقديمه إلى دورة المجمع لعام 1437 هـ 2016 م، وقد طلب مني تحديدًا الإجابة عن الأسئلة الآتية:</w:t>
      </w:r>
    </w:p>
    <w:p w:rsidR="00A41217" w:rsidRPr="00BA409D" w:rsidRDefault="00A41217" w:rsidP="00202EF0">
      <w:pPr>
        <w:pStyle w:val="NoSpacing"/>
        <w:widowControl w:val="0"/>
        <w:numPr>
          <w:ilvl w:val="0"/>
          <w:numId w:val="11"/>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حكم حضور مناشط لغير المسلمين فيها مفاسد مثل الخمر</w:t>
      </w:r>
    </w:p>
    <w:p w:rsidR="00A41217" w:rsidRPr="00BA409D" w:rsidRDefault="00A41217" w:rsidP="00202EF0">
      <w:pPr>
        <w:pStyle w:val="NoSpacing"/>
        <w:widowControl w:val="0"/>
        <w:numPr>
          <w:ilvl w:val="0"/>
          <w:numId w:val="11"/>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حكم تنظيم المناشط المشتركة مع المخالفين في الدين، والمجاهرين بالفجور</w:t>
      </w:r>
    </w:p>
    <w:p w:rsidR="00A41217" w:rsidRPr="00BA409D" w:rsidRDefault="00A41217" w:rsidP="00202EF0">
      <w:pPr>
        <w:pStyle w:val="NoSpacing"/>
        <w:widowControl w:val="0"/>
        <w:numPr>
          <w:ilvl w:val="0"/>
          <w:numId w:val="11"/>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حكم زيارة القدس في ظل الأوضاع الراهنة</w:t>
      </w:r>
    </w:p>
    <w:p w:rsidR="00A41217" w:rsidRPr="00BA409D" w:rsidRDefault="00A41217" w:rsidP="00202EF0">
      <w:pPr>
        <w:pStyle w:val="NoSpacing"/>
        <w:widowControl w:val="0"/>
        <w:numPr>
          <w:ilvl w:val="0"/>
          <w:numId w:val="11"/>
        </w:numPr>
        <w:tabs>
          <w:tab w:val="clear" w:pos="1440"/>
          <w:tab w:val="num" w:pos="614"/>
        </w:tabs>
        <w:spacing w:before="120" w:line="216" w:lineRule="auto"/>
        <w:ind w:left="614" w:hanging="614"/>
        <w:jc w:val="lowKashida"/>
        <w:rPr>
          <w:rFonts w:cs="Lotus Linotype"/>
          <w:szCs w:val="28"/>
        </w:rPr>
      </w:pPr>
      <w:r w:rsidRPr="00BA409D">
        <w:rPr>
          <w:rFonts w:cs="Lotus Linotype"/>
          <w:szCs w:val="28"/>
          <w:rtl/>
        </w:rPr>
        <w:t>حكم ترويج كتب ومقالات أو أشرطة فيديو يختلط فيها الحق والباطل أو يشوبها بعض المنكرات لما فيها من فائدة دعوية</w:t>
      </w:r>
    </w:p>
    <w:p w:rsidR="00A41217" w:rsidRPr="00BA409D" w:rsidRDefault="00A41217" w:rsidP="00202EF0">
      <w:pPr>
        <w:pStyle w:val="NoSpacing"/>
        <w:widowControl w:val="0"/>
        <w:numPr>
          <w:ilvl w:val="0"/>
          <w:numId w:val="11"/>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نازلة إباحة زواج المثليين، والموقف الصحيح تجاه هذه النازلة فقهيا ودعويا وسياسيا وإعلاميا وقانونيا</w:t>
      </w:r>
    </w:p>
    <w:p w:rsidR="00A41217" w:rsidRPr="00BA409D" w:rsidRDefault="00A41217" w:rsidP="00373E92">
      <w:pPr>
        <w:pStyle w:val="NoSpacing"/>
        <w:widowControl w:val="0"/>
        <w:spacing w:before="180" w:line="216" w:lineRule="auto"/>
        <w:jc w:val="lowKashida"/>
        <w:rPr>
          <w:rFonts w:cs="Lotus Linotype"/>
          <w:b/>
          <w:bCs/>
          <w:szCs w:val="28"/>
          <w:rtl/>
        </w:rPr>
      </w:pPr>
      <w:r w:rsidRPr="00BA409D">
        <w:rPr>
          <w:rFonts w:cs="Lotus Linotype"/>
          <w:b/>
          <w:bCs/>
          <w:szCs w:val="28"/>
          <w:rtl/>
        </w:rPr>
        <w:t>وقد قسمت البحث إلى مطالب بحسب ورود الأسئلة، فأجبت عن السؤالين الأولين في المطلب الأول ثم أفردت كل سؤال آخر بمطلب مستقل، فجاءت المطالب أربعة:</w:t>
      </w:r>
    </w:p>
    <w:p w:rsidR="00A41217" w:rsidRPr="00BA409D" w:rsidRDefault="00A41217" w:rsidP="00202EF0">
      <w:pPr>
        <w:pStyle w:val="NoSpacing"/>
        <w:widowControl w:val="0"/>
        <w:numPr>
          <w:ilvl w:val="0"/>
          <w:numId w:val="13"/>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حضور مناشط لغير المسلمين فيها مفاسد مثل الخمر وتنظيم المناشط المشتركة مع المخالفين في الدين، والمجاهرين بالفجور</w:t>
      </w:r>
    </w:p>
    <w:p w:rsidR="00A41217" w:rsidRPr="00BA409D" w:rsidRDefault="00A41217" w:rsidP="00202EF0">
      <w:pPr>
        <w:pStyle w:val="NoSpacing"/>
        <w:widowControl w:val="0"/>
        <w:numPr>
          <w:ilvl w:val="0"/>
          <w:numId w:val="13"/>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زيارة القدس في ظل الأوضاع الراهنة</w:t>
      </w:r>
    </w:p>
    <w:p w:rsidR="00A41217" w:rsidRPr="00BA409D" w:rsidRDefault="00A41217" w:rsidP="00202EF0">
      <w:pPr>
        <w:pStyle w:val="NoSpacing"/>
        <w:widowControl w:val="0"/>
        <w:numPr>
          <w:ilvl w:val="0"/>
          <w:numId w:val="13"/>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ترويج كتب ومقالات أو أشرطة فيديو يختلط فيها الحق والباطل أو يشوبها بعض المنكرات لما فيها من فائدة</w:t>
      </w:r>
      <w:r w:rsidRPr="000C7E4D">
        <w:rPr>
          <w:rFonts w:ascii="Times New Roman" w:hAnsi="Times New Roman" w:cs="Times New Roman"/>
          <w:szCs w:val="30"/>
          <w:rtl/>
        </w:rPr>
        <w:t> </w:t>
      </w:r>
      <w:r w:rsidRPr="00BA409D">
        <w:rPr>
          <w:rFonts w:cs="Lotus Linotype"/>
          <w:szCs w:val="28"/>
          <w:rtl/>
        </w:rPr>
        <w:t>دعوية</w:t>
      </w:r>
    </w:p>
    <w:p w:rsidR="00A41217" w:rsidRPr="00BA409D" w:rsidRDefault="00A41217" w:rsidP="00202EF0">
      <w:pPr>
        <w:pStyle w:val="NoSpacing"/>
        <w:widowControl w:val="0"/>
        <w:numPr>
          <w:ilvl w:val="0"/>
          <w:numId w:val="13"/>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نازلة إباحة زواج المثليين، والموقف الصحيح تجاه هذه النازلة فقهيا ودعويا وسياسيا وإعلاميا وقانونيا</w:t>
      </w:r>
    </w:p>
    <w:p w:rsidR="00A41217" w:rsidRPr="00BA409D" w:rsidRDefault="00A41217" w:rsidP="00202EF0">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ولعله من المناسب أن أبدأ في هذا التمهيد بالاعتذار قبل خوض الغمار وإظهار بعض ما في النفس من الخوف والضيق من التصدي للكتابة في هذه المسائل، وذلك لكونها مما يحتاج من رسوخ القدم وسعة العلم ما لا يظن الكاتب أنه حاز منه ما يجعله مطمئنًا إلى تقريراته وترجيحاته. ولكن يشجعني على الكتابة أن المرء قد يجوز له في باب البحث العلمي ما لا يجوز في باب </w:t>
      </w:r>
      <w:r w:rsidRPr="00BA409D">
        <w:rPr>
          <w:rFonts w:cs="Lotus Linotype"/>
          <w:szCs w:val="28"/>
          <w:rtl/>
        </w:rPr>
        <w:lastRenderedPageBreak/>
        <w:t xml:space="preserve">الفتيا، وأن البحث سيكون محل تأمل ومراجعة وتسديد من المشايخ والأقران، وقبل ذلك كله رجاء عفو الله ولطفه بعبده المحب له ولرسوله والمؤمنين. </w:t>
      </w:r>
    </w:p>
    <w:p w:rsidR="00A41217" w:rsidRPr="00BA409D" w:rsidRDefault="00A41217" w:rsidP="00D330BE">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إننا بلا شك في أزمنة ابتلاء، وقد قدر الله لنا كأقليات مسلمة بالغرب في هذا المنعطف التاريخي الخطير أن نكون سفراء الإسلام إلى الناس في زمن غربته وتكالب خصومه عليه وجهل كثير من أبنائه به وتشويه بعضهم له. ولنا قبل ذلك دور شديد الخطورة في الحفاظ على هوية أجيالنا القادمة وتزويدهم بخطاب ديني يعبر عن كل ثوابت الإسلام بلسان يراعي حال المخاطبين من غير أن يبدل شيئًا من المضامين، وينظر في المتغيرات لتحقيق مناطاتها مع مراعاة تغير الأحوال بتغير المكان والزمان، فالناس </w:t>
      </w:r>
      <w:r w:rsidRPr="00D330BE">
        <w:rPr>
          <w:rFonts w:cs="Lotus Linotype"/>
          <w:color w:val="000000"/>
          <w:spacing w:val="-4"/>
          <w:sz w:val="40"/>
          <w:szCs w:val="32"/>
          <w:rtl/>
        </w:rPr>
        <w:t>«</w:t>
      </w:r>
      <w:r w:rsidRPr="00BA409D">
        <w:rPr>
          <w:rFonts w:cs="Lotus Linotype"/>
          <w:b/>
          <w:bCs/>
          <w:szCs w:val="28"/>
          <w:rtl/>
        </w:rPr>
        <w:t>أشبه بأزمنتهم منهم بآبائهم</w:t>
      </w:r>
      <w:r w:rsidRPr="00D330BE">
        <w:rPr>
          <w:rFonts w:cs="Lotus Linotype"/>
          <w:color w:val="000000"/>
          <w:spacing w:val="-4"/>
          <w:sz w:val="40"/>
          <w:szCs w:val="32"/>
          <w:rtl/>
        </w:rPr>
        <w:t>»</w:t>
      </w:r>
      <w:r w:rsidRPr="00BA409D">
        <w:rPr>
          <w:rFonts w:cs="Lotus Linotype"/>
          <w:szCs w:val="28"/>
          <w:rtl/>
        </w:rPr>
        <w:t xml:space="preserve">. والخلاصة أننا أمام مهمة شديدة الوعورة، أقسمها اختصارًا إلى مرحلتين: </w:t>
      </w:r>
    </w:p>
    <w:p w:rsidR="00A41217" w:rsidRPr="00BA409D" w:rsidRDefault="00A41217" w:rsidP="00202EF0">
      <w:pPr>
        <w:pStyle w:val="NoSpacing"/>
        <w:widowControl w:val="0"/>
        <w:numPr>
          <w:ilvl w:val="0"/>
          <w:numId w:val="14"/>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تحقيق مناطات الأحكام الشرعية في الواقع المعاصر، بعنصريه الزماني والمكاني، وإلحاق أعيان الوقائع في الحكم بأقرب مناطاتها</w:t>
      </w:r>
    </w:p>
    <w:p w:rsidR="00A41217" w:rsidRPr="00BA409D" w:rsidRDefault="00A41217" w:rsidP="00202EF0">
      <w:pPr>
        <w:pStyle w:val="NoSpacing"/>
        <w:widowControl w:val="0"/>
        <w:numPr>
          <w:ilvl w:val="0"/>
          <w:numId w:val="14"/>
        </w:numPr>
        <w:tabs>
          <w:tab w:val="clear" w:pos="1440"/>
          <w:tab w:val="num" w:pos="614"/>
        </w:tabs>
        <w:spacing w:before="120" w:line="216" w:lineRule="auto"/>
        <w:ind w:left="614" w:hanging="614"/>
        <w:jc w:val="lowKashida"/>
        <w:rPr>
          <w:rFonts w:cs="Lotus Linotype"/>
          <w:szCs w:val="28"/>
        </w:rPr>
      </w:pPr>
      <w:r w:rsidRPr="00BA409D">
        <w:rPr>
          <w:rFonts w:cs="Lotus Linotype"/>
          <w:szCs w:val="28"/>
          <w:rtl/>
        </w:rPr>
        <w:t>التعبير عن هذه الأحكام بخطاب سديد يراعي أحوال المخاطبين، مع التنبيه إلى الحكم والمقاصد، والإفادة من العلوم الحديثة في بيان ذلك كله</w:t>
      </w:r>
    </w:p>
    <w:p w:rsidR="00A41217" w:rsidRPr="00BA409D" w:rsidRDefault="00A41217" w:rsidP="00202EF0">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والجزء الأول إنما يكون بالموازنة بين المقاصد الكلية والأدلة الجزئية، فالفقيه يكون نظره على الكليات التي شهدت الشريعة لاعتبار جنسها، وطريقه إليها منضبطًا بمراعاة الأدلة الجزئية التي أحسن فهم مناطاتها. فمن أهمل الكليات في عمله بالنصوص، فكأنه جعل الدين لوحة جدارية تركها الغابرون فهو يراعي أدق التفاصيل ليعيدها إلى حالتها الأولى، ولكن الدين ليس كذلك، بل هو قوة حية توجه حياة الفرد والأمة حال اشتباكهم مع متغيرات الواقع. وفي الجهة الأخرى، فإن من زعم أنه يجدد الدين بالتهوين من شأن الأدلة الجزئية والطنطنة حول كليات الشريعة ومقاصدها، فلا يؤمن عليه من اتباع الهوى ومجانبة الحق، فأكثر الكليات التي يذكرها يتفق على اعتبارها عقلاء البشر، لا علماء الشريعة فحسب، ولكنهم ما زالوا يختلفون في تفاصيلها وتعيين الطرق المؤدية إليها. </w:t>
      </w:r>
    </w:p>
    <w:p w:rsidR="00A41217" w:rsidRPr="00BA409D" w:rsidRDefault="00A41217" w:rsidP="00D330BE">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أما حسن التعبير، فهذا أمر يتطلب، مع صفاء النفس وسلامة الفكر وقوة العارضة، استقامة اللسان وبلاغة البيان والعلم بواقع المخاطبين وأعرافهم الاجتماعية واتجاهاتهم الفكرية. ولعلي أذكر هنا عبارة رائقة من قول الإمام الشافعي </w:t>
      </w:r>
      <w:r>
        <w:rPr>
          <w:rFonts w:cs="CTraditional Arabic"/>
          <w:rtl/>
        </w:rPr>
        <w:t>:</w:t>
      </w:r>
      <w:r w:rsidRPr="00BA409D">
        <w:rPr>
          <w:rFonts w:cs="Lotus Linotype"/>
          <w:szCs w:val="28"/>
          <w:rtl/>
        </w:rPr>
        <w:t xml:space="preserve"> إذ قال للمزني </w:t>
      </w:r>
      <w:r>
        <w:rPr>
          <w:rFonts w:cs="CTraditional Arabic"/>
          <w:rtl/>
        </w:rPr>
        <w:t>:</w:t>
      </w:r>
      <w:r w:rsidRPr="00BA409D">
        <w:rPr>
          <w:rFonts w:cs="Lotus Linotype"/>
          <w:szCs w:val="28"/>
          <w:rtl/>
        </w:rPr>
        <w:t xml:space="preserve"> عندما سمعه يصف رجلًا بالكذب: </w:t>
      </w:r>
      <w:r w:rsidRPr="00854C1F">
        <w:rPr>
          <w:rFonts w:cs="Lotus Linotype"/>
          <w:color w:val="000000"/>
          <w:spacing w:val="-4"/>
          <w:sz w:val="40"/>
          <w:szCs w:val="32"/>
          <w:rtl/>
        </w:rPr>
        <w:t>«</w:t>
      </w:r>
      <w:r w:rsidRPr="00BA409D">
        <w:rPr>
          <w:rFonts w:cs="Lotus Linotype"/>
          <w:szCs w:val="28"/>
          <w:rtl/>
        </w:rPr>
        <w:t>يا أبا إبراهيم، اكْسُ ألفاظَك أَحْسَنَها؛ لا تقل فلان كذّاب، ولكن قُلْ حديثه ليس بشيء</w:t>
      </w:r>
      <w:r w:rsidRPr="00C1242E">
        <w:rPr>
          <w:rFonts w:cs="Lotus Linotype"/>
          <w:color w:val="000000"/>
          <w:spacing w:val="-4"/>
          <w:sz w:val="40"/>
          <w:szCs w:val="32"/>
          <w:rtl/>
        </w:rPr>
        <w:t>»</w:t>
      </w:r>
      <w:r w:rsidRPr="00394A4E">
        <w:rPr>
          <w:color w:val="000000"/>
          <w:position w:val="4"/>
          <w:sz w:val="40"/>
          <w:szCs w:val="34"/>
          <w:vertAlign w:val="superscript"/>
          <w:rtl/>
        </w:rPr>
        <w:t>(</w:t>
      </w:r>
      <w:r w:rsidRPr="00394A4E">
        <w:rPr>
          <w:rStyle w:val="FootnoteReference"/>
          <w:rFonts w:cs="Traditional Arabic"/>
          <w:color w:val="222222"/>
          <w:position w:val="4"/>
          <w:szCs w:val="34"/>
          <w:rtl/>
        </w:rPr>
        <w:footnoteReference w:id="1"/>
      </w:r>
      <w:r w:rsidRPr="00394A4E">
        <w:rPr>
          <w:color w:val="000000"/>
          <w:position w:val="4"/>
          <w:sz w:val="40"/>
          <w:szCs w:val="34"/>
          <w:vertAlign w:val="superscript"/>
          <w:rtl/>
        </w:rPr>
        <w:t>)</w:t>
      </w:r>
      <w:r w:rsidRPr="00BA409D">
        <w:rPr>
          <w:rFonts w:cs="Lotus Linotype"/>
          <w:szCs w:val="28"/>
          <w:rtl/>
        </w:rPr>
        <w:t xml:space="preserve"> وحري بالممارسين للدعوة أن يوطنوا أنفسهم على تأمل ما يقولون وتجميله، ولقد روى مالك في الموطأ </w:t>
      </w:r>
      <w:r w:rsidRPr="00BA409D">
        <w:rPr>
          <w:rFonts w:cs="Lotus Linotype"/>
          <w:szCs w:val="28"/>
          <w:rtl/>
        </w:rPr>
        <w:lastRenderedPageBreak/>
        <w:t xml:space="preserve">عن يحيى بن سعيد، </w:t>
      </w:r>
      <w:r w:rsidRPr="00D330BE">
        <w:rPr>
          <w:rFonts w:cs="Lotus Linotype"/>
          <w:color w:val="000000"/>
          <w:spacing w:val="-4"/>
          <w:sz w:val="40"/>
          <w:szCs w:val="32"/>
          <w:rtl/>
        </w:rPr>
        <w:t>«</w:t>
      </w:r>
      <w:r w:rsidRPr="00BA409D">
        <w:rPr>
          <w:rFonts w:cs="Lotus Linotype"/>
          <w:szCs w:val="28"/>
          <w:rtl/>
        </w:rPr>
        <w:t>أن عيسى ابن مريم - عليه السلام - لقي خنزيرا بالطريق، فقال له: انفذ بسلام، فقيل له: تقول هذا لخنزير، فقال عيسى ابن مريم: إني أخاف أن أعود لساني المنطق بالسوء</w:t>
      </w:r>
      <w:r w:rsidRPr="00D330BE">
        <w:rPr>
          <w:rFonts w:cs="Lotus Linotype"/>
          <w:color w:val="000000"/>
          <w:spacing w:val="-4"/>
          <w:sz w:val="40"/>
          <w:szCs w:val="32"/>
          <w:rtl/>
        </w:rPr>
        <w:t>»</w:t>
      </w:r>
      <w:r w:rsidRPr="00BA409D">
        <w:rPr>
          <w:rFonts w:cs="Lotus Linotype"/>
          <w:szCs w:val="28"/>
          <w:rtl/>
        </w:rPr>
        <w:t>.</w:t>
      </w:r>
      <w:r w:rsidRPr="00394A4E">
        <w:rPr>
          <w:position w:val="4"/>
          <w:szCs w:val="34"/>
          <w:vertAlign w:val="superscript"/>
          <w:rtl/>
        </w:rPr>
        <w:t>(</w:t>
      </w:r>
      <w:r w:rsidRPr="00394A4E">
        <w:rPr>
          <w:rStyle w:val="FootnoteReference"/>
          <w:rFonts w:cs="Traditional Arabic"/>
          <w:position w:val="4"/>
          <w:szCs w:val="34"/>
          <w:rtl/>
        </w:rPr>
        <w:footnoteReference w:id="2"/>
      </w:r>
      <w:r w:rsidRPr="00394A4E">
        <w:rPr>
          <w:position w:val="4"/>
          <w:szCs w:val="34"/>
          <w:vertAlign w:val="superscript"/>
          <w:rtl/>
        </w:rPr>
        <w:t>)</w:t>
      </w:r>
      <w:r w:rsidRPr="00BA409D">
        <w:rPr>
          <w:rFonts w:cs="Lotus Linotype"/>
          <w:szCs w:val="28"/>
          <w:rtl/>
        </w:rPr>
        <w:t xml:space="preserve"> قال الماوردي </w:t>
      </w:r>
      <w:r>
        <w:rPr>
          <w:rFonts w:cs="CTraditional Arabic"/>
          <w:rtl/>
        </w:rPr>
        <w:t>:</w:t>
      </w:r>
      <w:r w:rsidRPr="00BA409D">
        <w:rPr>
          <w:rFonts w:cs="Lotus Linotype"/>
          <w:szCs w:val="28"/>
          <w:rtl/>
        </w:rPr>
        <w:t xml:space="preserve"> في بيان أهمية وقع الكلام على السامع: </w:t>
      </w:r>
      <w:r w:rsidRPr="00D330BE">
        <w:rPr>
          <w:rFonts w:cs="Lotus Linotype"/>
          <w:color w:val="000000"/>
          <w:spacing w:val="-4"/>
          <w:sz w:val="40"/>
          <w:szCs w:val="32"/>
          <w:rtl/>
        </w:rPr>
        <w:t>«</w:t>
      </w:r>
      <w:r w:rsidRPr="00BA409D">
        <w:rPr>
          <w:rFonts w:cs="Lotus Linotype"/>
          <w:szCs w:val="28"/>
          <w:rtl/>
        </w:rPr>
        <w:t>وما يجري مجرى فحش القول وهُجره ولزوم تنكبه ما كان شنيع البديهة ومستنكر الظاهر، وإن كان عقب التأمل سليما، وبعد الكشف والرَّوية مستقيما</w:t>
      </w:r>
      <w:r w:rsidRPr="00D330B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3"/>
      </w:r>
      <w:r w:rsidRPr="00394A4E">
        <w:rPr>
          <w:position w:val="4"/>
          <w:szCs w:val="34"/>
          <w:vertAlign w:val="superscript"/>
          <w:rtl/>
        </w:rPr>
        <w:t>)</w:t>
      </w:r>
      <w:r w:rsidRPr="00BA409D">
        <w:rPr>
          <w:rFonts w:cs="Lotus Linotype"/>
          <w:szCs w:val="28"/>
          <w:rtl/>
        </w:rPr>
        <w:t xml:space="preserve">. </w:t>
      </w:r>
    </w:p>
    <w:p w:rsidR="00A41217" w:rsidRPr="00BA409D" w:rsidRDefault="00A41217" w:rsidP="009D1715">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هذا هو بعض الجهد العلمي المطلوب في هذه المرحلة، ولكن أصل الخطايا وأعظم البلايا ضعف الإخلاص وفساد الطوية، فهما منبع الشرور والآثام ومجلبة الفشل والخذلان. أجدني أحيانًا متعجبًا من فعلي وفعل بعض إخواني وخفتنا إلى الحديث والقطع فيما هو ظني. أليس سبب ذلك اغترارنا وحرصنا على الشهرة والرياسة؟ لماذا نتسابق إلى التصدر مع خطورة مقامه؛ بئس الورد المورود! إنه لا يكفي أن نرى أحوال أمتنا والفتن التي تعصف بها ثم نقلب النظر في كل ما هو خطأ حولنا دون مراجعة أحوالنا نحن والتفتيش في قلوبنا وخوافي صدورنا عن أسباب محنتنا. نحن بحاجة إلى أن نكثر من الصمت والتفكر ونقلل من الكلام، ونقصره على الجميل. ولو كان الجميل ما يرضي الناس وحسب، لكان الأمر هينًا، ولكن ويل لمن أرضاهم بسخط ربه، وويل، في الجهة الأخرى، لمن أساء بجهله ورعونته السفارة عن دينه. لكن يبقى واجب البيان عند الحاجة وفقدان من يكفيناه في مساجدنا ومدننا، فلنجتهد في تحري الصواب وحسن البلاغ ثم ملازمة الاستغفار. </w:t>
      </w:r>
    </w:p>
    <w:p w:rsidR="00A41217" w:rsidRPr="009D1715" w:rsidRDefault="00A41217" w:rsidP="009D1715">
      <w:pPr>
        <w:pStyle w:val="NoSpacing"/>
        <w:widowControl w:val="0"/>
        <w:spacing w:line="216" w:lineRule="auto"/>
        <w:jc w:val="center"/>
        <w:rPr>
          <w:rFonts w:cs="DecoType Naskh"/>
          <w:rtl/>
        </w:rPr>
      </w:pPr>
      <w:r w:rsidRPr="00BA409D">
        <w:rPr>
          <w:rFonts w:cs="Lotus Linotype"/>
          <w:szCs w:val="28"/>
          <w:rtl/>
        </w:rPr>
        <w:br w:type="page"/>
      </w:r>
      <w:bookmarkStart w:id="8" w:name="_Toc441671721"/>
      <w:r w:rsidRPr="009D1715">
        <w:rPr>
          <w:rFonts w:cs="DecoType Naskh"/>
          <w:rtl/>
        </w:rPr>
        <w:lastRenderedPageBreak/>
        <w:t>المطلب الأول</w:t>
      </w:r>
    </w:p>
    <w:p w:rsidR="00A41217" w:rsidRPr="009D1715" w:rsidRDefault="00A41217" w:rsidP="009D1715">
      <w:pPr>
        <w:pStyle w:val="NoSpacing"/>
        <w:widowControl w:val="0"/>
        <w:spacing w:line="216" w:lineRule="auto"/>
        <w:jc w:val="center"/>
        <w:outlineLvl w:val="0"/>
        <w:rPr>
          <w:rFonts w:cs="الحوكمي عنوان2"/>
          <w:color w:val="FFFFFF"/>
          <w:sz w:val="18"/>
          <w:szCs w:val="18"/>
          <w:rtl/>
        </w:rPr>
      </w:pPr>
      <w:bookmarkStart w:id="9" w:name="_Toc444382225"/>
      <w:r w:rsidRPr="009D1715">
        <w:rPr>
          <w:rFonts w:cs="الحوكمي عنوان2"/>
          <w:color w:val="FFFFFF"/>
          <w:sz w:val="18"/>
          <w:szCs w:val="18"/>
          <w:rtl/>
        </w:rPr>
        <w:t>المطلب الأول: حضور مناشط لغير المسلمين فيها مفاسد مثل الخمر وتنظيم المناشط المشتركة مع المخالفين في الدين، والمجاهرين بالفجور</w:t>
      </w:r>
      <w:bookmarkEnd w:id="8"/>
      <w:bookmarkEnd w:id="9"/>
    </w:p>
    <w:p w:rsidR="00A41217" w:rsidRPr="009D1715" w:rsidRDefault="00A41217" w:rsidP="009D1715">
      <w:pPr>
        <w:pStyle w:val="NoSpacing"/>
        <w:widowControl w:val="0"/>
        <w:spacing w:line="216" w:lineRule="auto"/>
        <w:jc w:val="center"/>
        <w:rPr>
          <w:rFonts w:cs="الحوكمي عنوان2"/>
          <w:sz w:val="30"/>
          <w:szCs w:val="30"/>
          <w:rtl/>
        </w:rPr>
      </w:pPr>
      <w:r w:rsidRPr="009D1715">
        <w:rPr>
          <w:rFonts w:cs="الحوكمي عنوان2"/>
          <w:sz w:val="30"/>
          <w:szCs w:val="30"/>
          <w:rtl/>
        </w:rPr>
        <w:t xml:space="preserve">حضور مناشط لغير المسلمين فيها مفاسد </w:t>
      </w:r>
    </w:p>
    <w:p w:rsidR="00A41217" w:rsidRPr="009D1715" w:rsidRDefault="00A41217" w:rsidP="009D1715">
      <w:pPr>
        <w:pStyle w:val="NoSpacing"/>
        <w:widowControl w:val="0"/>
        <w:spacing w:line="216" w:lineRule="auto"/>
        <w:jc w:val="center"/>
        <w:rPr>
          <w:rFonts w:cs="الحوكمي عنوان2"/>
          <w:sz w:val="30"/>
          <w:szCs w:val="30"/>
          <w:rtl/>
        </w:rPr>
      </w:pPr>
      <w:r w:rsidRPr="009D1715">
        <w:rPr>
          <w:rFonts w:cs="الحوكمي عنوان2"/>
          <w:sz w:val="30"/>
          <w:szCs w:val="30"/>
          <w:rtl/>
        </w:rPr>
        <w:t>مثل الخمر وتنظيم المناشط المشتركة مع المخالفين في الدين، والمجاهرين بالفجور</w:t>
      </w:r>
    </w:p>
    <w:p w:rsidR="00A41217" w:rsidRPr="009D1715" w:rsidRDefault="00A41217" w:rsidP="009D1715">
      <w:pPr>
        <w:pStyle w:val="Heading2"/>
        <w:keepNext w:val="0"/>
        <w:keepLines w:val="0"/>
        <w:widowControl w:val="0"/>
        <w:spacing w:before="240" w:line="216" w:lineRule="auto"/>
        <w:rPr>
          <w:rFonts w:cs="الحوكمي عنوان2"/>
          <w:b w:val="0"/>
          <w:bCs w:val="0"/>
          <w:sz w:val="28"/>
          <w:szCs w:val="28"/>
          <w:rtl/>
        </w:rPr>
      </w:pPr>
      <w:bookmarkStart w:id="10" w:name="_Toc444382226"/>
      <w:r w:rsidRPr="009D1715">
        <w:rPr>
          <w:rFonts w:cs="الحوكمي عنوان2"/>
          <w:b w:val="0"/>
          <w:bCs w:val="0"/>
          <w:sz w:val="28"/>
          <w:szCs w:val="28"/>
          <w:rtl/>
        </w:rPr>
        <w:t>الأصل المخالطة:</w:t>
      </w:r>
      <w:bookmarkEnd w:id="10"/>
    </w:p>
    <w:p w:rsidR="00A41217" w:rsidRPr="00BA409D" w:rsidRDefault="00A41217" w:rsidP="009D1715">
      <w:pPr>
        <w:pStyle w:val="NoSpacing"/>
        <w:widowControl w:val="0"/>
        <w:pBdr>
          <w:top w:val="single" w:sz="24" w:space="1" w:color="auto"/>
          <w:left w:val="single" w:sz="24" w:space="4" w:color="auto"/>
          <w:bottom w:val="single" w:sz="24" w:space="1" w:color="auto"/>
          <w:right w:val="single" w:sz="24" w:space="4" w:color="auto"/>
        </w:pBdr>
        <w:spacing w:before="180" w:line="216" w:lineRule="auto"/>
        <w:ind w:left="614" w:right="720"/>
        <w:jc w:val="lowKashida"/>
        <w:rPr>
          <w:rFonts w:cs="Lotus Linotype"/>
          <w:szCs w:val="28"/>
          <w:rtl/>
        </w:rPr>
      </w:pPr>
      <w:r w:rsidRPr="00BA409D">
        <w:rPr>
          <w:rFonts w:cs="Lotus Linotype"/>
          <w:szCs w:val="28"/>
          <w:rtl/>
        </w:rPr>
        <w:t xml:space="preserve">روى البخاري </w:t>
      </w:r>
      <w:r w:rsidRPr="009D1715">
        <w:rPr>
          <w:rFonts w:cs="CTraditional Arabic"/>
          <w:rtl/>
        </w:rPr>
        <w:t>:</w:t>
      </w:r>
      <w:r w:rsidRPr="00BA409D">
        <w:rPr>
          <w:rFonts w:cs="Lotus Linotype"/>
          <w:szCs w:val="28"/>
          <w:rtl/>
        </w:rPr>
        <w:t xml:space="preserve"> عن أسامة</w:t>
      </w:r>
      <w:r w:rsidRPr="009D1715">
        <w:rPr>
          <w:rFonts w:ascii="Lotus Linotype" w:hAnsi="Lotus Linotype" w:cs="Lotus Linotype"/>
        </w:rPr>
        <w:sym w:font="AGA Arabesque" w:char="F074"/>
      </w:r>
      <w:r w:rsidRPr="00BA409D">
        <w:rPr>
          <w:rFonts w:cs="Lotus Linotype"/>
          <w:szCs w:val="28"/>
          <w:rtl/>
        </w:rPr>
        <w:t xml:space="preserve"> أن رسول اللهﷺ </w:t>
      </w:r>
      <w:r w:rsidRPr="009D1715">
        <w:rPr>
          <w:rFonts w:cs="Lotus Linotype"/>
          <w:color w:val="000000"/>
          <w:spacing w:val="-4"/>
          <w:sz w:val="40"/>
          <w:szCs w:val="32"/>
          <w:rtl/>
        </w:rPr>
        <w:t>«</w:t>
      </w:r>
      <w:r w:rsidRPr="00BA409D">
        <w:rPr>
          <w:rFonts w:cs="Lotus Linotype"/>
          <w:szCs w:val="28"/>
          <w:rtl/>
        </w:rPr>
        <w:t xml:space="preserve">... </w:t>
      </w:r>
      <w:r w:rsidRPr="00BA409D">
        <w:rPr>
          <w:rFonts w:cs="Lotus Linotype"/>
          <w:b/>
          <w:bCs/>
          <w:szCs w:val="28"/>
          <w:rtl/>
        </w:rPr>
        <w:t>مَرَّ بِمَجْلِسٍ فِيهِ عَبْدُ اللَّهِ بْنُ أُبَيٍّ ابْنُ سَلُولَ، وَذَلِكَ قَبْلَ أَنْ يُسْلِمَ، وَفِي الْمَجْلِسِ أَخْلَاطٌ مِنَ الْمُسْلِمِينَ وَالْمُشْرِكِينَ عَبَدَةِ الْأَوْثَانِ وَالْيَهُودِ، وَفِي الْمَجْلِسِ عَبْدُ اللَّهِ بْنُ رَوَاحَةَ، فَلَمَّا غَشِيَتِ الْمَجْلِسَ عَجَاجَةُ الدَّابَّةِ خَمَّرَ عَبْدُ اللَّهِ بْنُ أُبَيٍّ أَنْفَهُ بِرِدَائِهِ، قَالَ: لَا تُغَبِّرُوا عَلَيْنَا، فَسَلَّمَ النَّبِيُّﷺ، وَوَقَفَ، وَنَزَلَ فَدَعَاهُمْ إِلَى اللَّهِ، فَقَرَأَ عَلَيْهِمُ الْقُرْآنَ، فَقَالَ لَهُ عَبْدُ اللَّهِ بْنُ أُبَيٍّ: يَا أَيُّهَا الْمَرْءُ إِنَّهُ لَا أَحْسَنَ مِمَّا تَقُولُ، إِنْ كَانَ حَقًّا فَلَا تُؤْذِنَا بِهِ فِي مَجْلِسِنَا، وَارْجِعْ إِلَى رَحْلِكَ فَمَنْ جَاءَكَ فَاقْصُصْ عَلَيْهِ، قَالَ ابْنُ رَوَاحَةَ: بَلَى يَا رَسُولَ اللَّهِ فَاغْشَنَا بِهِ فِي مَجَالِسِنَا فَإِنَّا نُحِبُّ ذَلِكَ، فَاسْتَبَّ الْمُسْلِمُونَ وَالْمُشْرِكُونَ وَالْيَهُودُ حَتَّى كَادُوا يَتَثَاوَرُونَ، فَلَمْ يَزَلِ النَّبِيُّﷺ حَتَّى سَكَتُوا، فَرَكِبَ النَّبِيُّﷺ دَابَّتَهُ</w:t>
      </w:r>
      <w:r w:rsidRPr="00BA409D">
        <w:rPr>
          <w:rFonts w:cs="Lotus Linotype"/>
          <w:szCs w:val="28"/>
          <w:rtl/>
        </w:rPr>
        <w:t>...</w:t>
      </w:r>
      <w:r w:rsidRPr="009D1715">
        <w:rPr>
          <w:rFonts w:cs="Lotus Linotype"/>
          <w:color w:val="000000"/>
          <w:spacing w:val="-4"/>
          <w:sz w:val="40"/>
          <w:szCs w:val="32"/>
          <w:rtl/>
        </w:rPr>
        <w:t>»</w:t>
      </w:r>
      <w:r w:rsidRPr="009D1715">
        <w:rPr>
          <w:position w:val="4"/>
          <w:szCs w:val="34"/>
          <w:vertAlign w:val="superscript"/>
          <w:rtl/>
        </w:rPr>
        <w:t>(</w:t>
      </w:r>
      <w:r w:rsidRPr="009D1715">
        <w:rPr>
          <w:rStyle w:val="FootnoteReference"/>
          <w:rFonts w:cs="Traditional Arabic"/>
          <w:position w:val="4"/>
          <w:szCs w:val="34"/>
          <w:rtl/>
        </w:rPr>
        <w:footnoteReference w:id="4"/>
      </w:r>
      <w:r w:rsidRPr="009D1715">
        <w:rPr>
          <w:position w:val="4"/>
          <w:szCs w:val="34"/>
          <w:vertAlign w:val="superscript"/>
          <w:rtl/>
        </w:rPr>
        <w:t>)</w:t>
      </w:r>
    </w:p>
    <w:p w:rsidR="00A41217" w:rsidRPr="00BA409D" w:rsidRDefault="00A41217" w:rsidP="00373E92">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لاحظ في الحديث مخالطة المسلمين لغيرهم، بل وتسكين الرسول لهم بعد ما كان بينه وبين ابن أبي سلول وتركه لهم ليكملوا مجلسهم. إن الإسلام يعلو ولا يعلى، وإنه لا خطر عليه من الأفكار والمذاهب الأخرى متى كان أتباعه واثقين فيه ومعتدين به كهؤلاء الصحابة المذكورين في الحديث. يقول الله </w:t>
      </w:r>
      <w:r w:rsidRPr="000C7E4D">
        <w:rPr>
          <w:rFonts w:ascii="Lotus Linotype" w:hAnsi="Lotus Linotype" w:cs="Lotus Linotype"/>
        </w:rPr>
        <w:sym w:font="AGA Arabesque" w:char="F049"/>
      </w:r>
      <w:r w:rsidRPr="00BA409D">
        <w:rPr>
          <w:rFonts w:cs="Lotus Linotype"/>
          <w:szCs w:val="28"/>
          <w:rtl/>
        </w:rPr>
        <w:t xml:space="preserve"> في شأن مخالطة من يسخر من ديننا: </w:t>
      </w:r>
    </w:p>
    <w:p w:rsidR="00A41217" w:rsidRPr="00BA409D" w:rsidRDefault="00A41217" w:rsidP="00582E5C">
      <w:pPr>
        <w:pStyle w:val="NoSpacing"/>
        <w:widowControl w:val="0"/>
        <w:spacing w:before="180" w:line="216" w:lineRule="auto"/>
        <w:ind w:firstLine="425"/>
        <w:jc w:val="both"/>
        <w:rPr>
          <w:rFonts w:cs="Lotus Linotype"/>
          <w:sz w:val="30"/>
          <w:szCs w:val="28"/>
          <w:rtl/>
        </w:rPr>
      </w:pPr>
      <w:r w:rsidRPr="00582E5C">
        <w:rPr>
          <w:rFonts w:ascii="QCF_BSML" w:hAnsi="QCF_BSML" w:cs="QCF_BSML"/>
          <w:color w:val="000000"/>
          <w:sz w:val="30"/>
          <w:szCs w:val="30"/>
          <w:rtl/>
        </w:rPr>
        <w:t xml:space="preserve">ﮋ </w:t>
      </w:r>
      <w:r w:rsidRPr="00582E5C">
        <w:rPr>
          <w:rFonts w:ascii="QCF_P100" w:hAnsi="QCF_P100" w:cs="QCF_P100"/>
          <w:color w:val="000000"/>
          <w:sz w:val="30"/>
          <w:szCs w:val="30"/>
          <w:rtl/>
        </w:rPr>
        <w:t>ﯦ ﯧ ﯨ ﯩ  ﯪ ﯫ ﯬ ﯭ ﯮ ﯯ ﯰ ﯱ ﯲ   ﯳ ﯴ  ﯵ ﯶ ﯷ ﯸ ﯹ ﯺ ﯻﯼ ﯽ ﯾ ﯿ</w:t>
      </w:r>
      <w:r w:rsidRPr="00582E5C">
        <w:rPr>
          <w:rFonts w:ascii="Arial" w:hAnsi="Arial"/>
          <w:color w:val="000000"/>
          <w:sz w:val="30"/>
          <w:szCs w:val="30"/>
          <w:rtl/>
        </w:rPr>
        <w:t xml:space="preserve"> </w:t>
      </w:r>
      <w:r w:rsidRPr="00582E5C">
        <w:rPr>
          <w:rFonts w:ascii="QCF_BSML" w:hAnsi="QCF_BSML" w:cs="QCF_BSML"/>
          <w:color w:val="000000"/>
          <w:sz w:val="30"/>
          <w:szCs w:val="30"/>
          <w:rtl/>
        </w:rPr>
        <w:t>ﮊ</w:t>
      </w:r>
      <w:r w:rsidRPr="00582E5C">
        <w:rPr>
          <w:rFonts w:cs="Lotus Linotype"/>
          <w:sz w:val="26"/>
          <w:szCs w:val="26"/>
          <w:rtl/>
        </w:rPr>
        <w:t>[النساء: 140]</w:t>
      </w:r>
      <w:r w:rsidRPr="00BA409D">
        <w:rPr>
          <w:rFonts w:cs="Lotus Linotype"/>
          <w:sz w:val="30"/>
          <w:szCs w:val="28"/>
          <w:rtl/>
        </w:rPr>
        <w:t xml:space="preserve"> ويقول</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135" w:hAnsi="QCF_P135" w:cs="QCF_P135"/>
          <w:color w:val="000000"/>
          <w:sz w:val="29"/>
          <w:szCs w:val="29"/>
          <w:rtl/>
        </w:rPr>
        <w:t>ﯷ</w:t>
      </w:r>
      <w:r>
        <w:rPr>
          <w:rFonts w:ascii="QCF_P135" w:hAnsi="QCF_P135" w:cs="QCF_P135"/>
          <w:color w:val="000000"/>
          <w:sz w:val="2"/>
          <w:szCs w:val="2"/>
          <w:rtl/>
        </w:rPr>
        <w:t xml:space="preserve"> </w:t>
      </w:r>
      <w:r>
        <w:rPr>
          <w:rFonts w:ascii="QCF_P135" w:hAnsi="QCF_P135" w:cs="QCF_P135"/>
          <w:color w:val="000000"/>
          <w:sz w:val="29"/>
          <w:szCs w:val="29"/>
          <w:rtl/>
        </w:rPr>
        <w:t>ﯸ</w:t>
      </w:r>
      <w:r>
        <w:rPr>
          <w:rFonts w:ascii="QCF_P135" w:hAnsi="QCF_P135" w:cs="QCF_P135"/>
          <w:color w:val="000000"/>
          <w:sz w:val="2"/>
          <w:szCs w:val="2"/>
          <w:rtl/>
        </w:rPr>
        <w:t xml:space="preserve"> </w:t>
      </w:r>
      <w:r>
        <w:rPr>
          <w:rFonts w:ascii="QCF_P135" w:hAnsi="QCF_P135" w:cs="QCF_P135"/>
          <w:color w:val="000000"/>
          <w:sz w:val="29"/>
          <w:szCs w:val="29"/>
          <w:rtl/>
        </w:rPr>
        <w:t>ﯹ</w:t>
      </w:r>
      <w:r>
        <w:rPr>
          <w:rFonts w:ascii="QCF_P135" w:hAnsi="QCF_P135" w:cs="QCF_P135"/>
          <w:color w:val="000000"/>
          <w:sz w:val="2"/>
          <w:szCs w:val="2"/>
          <w:rtl/>
        </w:rPr>
        <w:t xml:space="preserve"> </w:t>
      </w:r>
      <w:r>
        <w:rPr>
          <w:rFonts w:ascii="QCF_P135" w:hAnsi="QCF_P135" w:cs="QCF_P135"/>
          <w:color w:val="000000"/>
          <w:sz w:val="29"/>
          <w:szCs w:val="29"/>
          <w:rtl/>
        </w:rPr>
        <w:t>ﯺ</w:t>
      </w:r>
      <w:r>
        <w:rPr>
          <w:rFonts w:ascii="QCF_P135" w:hAnsi="QCF_P135" w:cs="QCF_P135"/>
          <w:color w:val="000000"/>
          <w:sz w:val="2"/>
          <w:szCs w:val="2"/>
          <w:rtl/>
        </w:rPr>
        <w:t xml:space="preserve"> </w:t>
      </w:r>
      <w:r>
        <w:rPr>
          <w:rFonts w:ascii="QCF_P135" w:hAnsi="QCF_P135" w:cs="QCF_P135"/>
          <w:color w:val="000000"/>
          <w:sz w:val="29"/>
          <w:szCs w:val="29"/>
          <w:rtl/>
        </w:rPr>
        <w:t>ﯻ</w:t>
      </w:r>
      <w:r>
        <w:rPr>
          <w:rFonts w:ascii="QCF_P135" w:hAnsi="QCF_P135" w:cs="QCF_P135"/>
          <w:color w:val="000000"/>
          <w:sz w:val="2"/>
          <w:szCs w:val="2"/>
          <w:rtl/>
        </w:rPr>
        <w:t xml:space="preserve">    </w:t>
      </w:r>
      <w:r>
        <w:rPr>
          <w:rFonts w:ascii="QCF_P135" w:hAnsi="QCF_P135" w:cs="QCF_P135"/>
          <w:color w:val="000000"/>
          <w:sz w:val="29"/>
          <w:szCs w:val="29"/>
          <w:rtl/>
        </w:rPr>
        <w:t>ﯼ</w:t>
      </w:r>
      <w:r>
        <w:rPr>
          <w:rFonts w:ascii="QCF_P135" w:hAnsi="QCF_P135" w:cs="QCF_P135"/>
          <w:color w:val="000000"/>
          <w:sz w:val="2"/>
          <w:szCs w:val="2"/>
          <w:rtl/>
        </w:rPr>
        <w:t xml:space="preserve"> </w:t>
      </w:r>
      <w:r>
        <w:rPr>
          <w:rFonts w:ascii="QCF_P135" w:hAnsi="QCF_P135" w:cs="QCF_P135"/>
          <w:color w:val="000000"/>
          <w:sz w:val="29"/>
          <w:szCs w:val="29"/>
          <w:rtl/>
        </w:rPr>
        <w:t>ﯽ</w:t>
      </w:r>
      <w:r>
        <w:rPr>
          <w:rFonts w:ascii="QCF_P135" w:hAnsi="QCF_P135" w:cs="QCF_P135"/>
          <w:color w:val="000000"/>
          <w:sz w:val="2"/>
          <w:szCs w:val="2"/>
          <w:rtl/>
        </w:rPr>
        <w:t xml:space="preserve"> </w:t>
      </w:r>
      <w:r>
        <w:rPr>
          <w:rFonts w:ascii="QCF_P135" w:hAnsi="QCF_P135" w:cs="QCF_P135"/>
          <w:color w:val="000000"/>
          <w:sz w:val="29"/>
          <w:szCs w:val="29"/>
          <w:rtl/>
        </w:rPr>
        <w:t>ﯾ</w:t>
      </w:r>
      <w:r>
        <w:rPr>
          <w:rFonts w:ascii="QCF_P135" w:hAnsi="QCF_P135" w:cs="QCF_P135"/>
          <w:color w:val="000000"/>
          <w:sz w:val="2"/>
          <w:szCs w:val="2"/>
          <w:rtl/>
        </w:rPr>
        <w:t xml:space="preserve"> </w:t>
      </w:r>
      <w:r>
        <w:rPr>
          <w:rFonts w:ascii="QCF_P135" w:hAnsi="QCF_P135" w:cs="QCF_P135"/>
          <w:color w:val="000000"/>
          <w:sz w:val="29"/>
          <w:szCs w:val="29"/>
          <w:rtl/>
        </w:rPr>
        <w:t>ﯿ</w:t>
      </w:r>
      <w:r>
        <w:rPr>
          <w:rFonts w:ascii="QCF_P135" w:hAnsi="QCF_P135" w:cs="QCF_P135"/>
          <w:color w:val="000000"/>
          <w:sz w:val="2"/>
          <w:szCs w:val="2"/>
          <w:rtl/>
        </w:rPr>
        <w:t xml:space="preserve"> </w:t>
      </w:r>
      <w:r>
        <w:rPr>
          <w:rFonts w:ascii="QCF_P135" w:hAnsi="QCF_P135" w:cs="QCF_P135"/>
          <w:color w:val="000000"/>
          <w:sz w:val="29"/>
          <w:szCs w:val="29"/>
          <w:rtl/>
        </w:rPr>
        <w:t>ﰀ</w:t>
      </w:r>
      <w:r>
        <w:rPr>
          <w:rFonts w:ascii="QCF_P135" w:hAnsi="QCF_P135" w:cs="QCF_P135"/>
          <w:color w:val="000000"/>
          <w:sz w:val="2"/>
          <w:szCs w:val="2"/>
          <w:rtl/>
        </w:rPr>
        <w:t xml:space="preserve"> </w:t>
      </w:r>
      <w:r>
        <w:rPr>
          <w:rFonts w:ascii="QCF_P135" w:hAnsi="QCF_P135" w:cs="QCF_P135"/>
          <w:color w:val="000000"/>
          <w:sz w:val="29"/>
          <w:szCs w:val="29"/>
          <w:rtl/>
        </w:rPr>
        <w:t>ﰁ</w:t>
      </w:r>
      <w:r>
        <w:rPr>
          <w:rFonts w:ascii="QCF_P135" w:hAnsi="QCF_P135" w:cs="QCF_P135"/>
          <w:color w:val="000000"/>
          <w:sz w:val="2"/>
          <w:szCs w:val="2"/>
          <w:rtl/>
        </w:rPr>
        <w:t xml:space="preserve"> </w:t>
      </w:r>
      <w:r>
        <w:rPr>
          <w:rFonts w:ascii="QCF_P135" w:hAnsi="QCF_P135" w:cs="QCF_P135"/>
          <w:color w:val="000000"/>
          <w:sz w:val="29"/>
          <w:szCs w:val="29"/>
          <w:rtl/>
        </w:rPr>
        <w:t>ﰂ</w:t>
      </w:r>
      <w:r>
        <w:rPr>
          <w:rFonts w:ascii="QCF_P135" w:hAnsi="QCF_P135" w:cs="QCF_P135"/>
          <w:color w:val="000000"/>
          <w:sz w:val="2"/>
          <w:szCs w:val="2"/>
          <w:rtl/>
        </w:rPr>
        <w:t xml:space="preserve"> </w:t>
      </w:r>
      <w:r>
        <w:rPr>
          <w:rFonts w:ascii="QCF_P135" w:hAnsi="QCF_P135" w:cs="QCF_P135"/>
          <w:color w:val="000000"/>
          <w:sz w:val="29"/>
          <w:szCs w:val="29"/>
          <w:rtl/>
        </w:rPr>
        <w:t>ﰃﰄ</w:t>
      </w:r>
      <w:r>
        <w:rPr>
          <w:rFonts w:ascii="QCF_P135" w:hAnsi="QCF_P135" w:cs="QCF_P135"/>
          <w:color w:val="000000"/>
          <w:sz w:val="2"/>
          <w:szCs w:val="2"/>
          <w:rtl/>
        </w:rPr>
        <w:t xml:space="preserve"> </w:t>
      </w:r>
      <w:r>
        <w:rPr>
          <w:rFonts w:ascii="QCF_P135" w:hAnsi="QCF_P135" w:cs="QCF_P135"/>
          <w:color w:val="000000"/>
          <w:sz w:val="29"/>
          <w:szCs w:val="29"/>
          <w:rtl/>
        </w:rPr>
        <w:t>ﰅ</w:t>
      </w:r>
      <w:r>
        <w:rPr>
          <w:rFonts w:ascii="QCF_P135" w:hAnsi="QCF_P135" w:cs="QCF_P135"/>
          <w:color w:val="000000"/>
          <w:sz w:val="2"/>
          <w:szCs w:val="2"/>
          <w:rtl/>
        </w:rPr>
        <w:t xml:space="preserve"> </w:t>
      </w:r>
      <w:r>
        <w:rPr>
          <w:rFonts w:ascii="QCF_P135" w:hAnsi="QCF_P135" w:cs="QCF_P135"/>
          <w:color w:val="000000"/>
          <w:sz w:val="29"/>
          <w:szCs w:val="29"/>
          <w:rtl/>
        </w:rPr>
        <w:t>ﰆ</w:t>
      </w:r>
      <w:r>
        <w:rPr>
          <w:rFonts w:ascii="QCF_P135" w:hAnsi="QCF_P135" w:cs="QCF_P135"/>
          <w:color w:val="000000"/>
          <w:sz w:val="2"/>
          <w:szCs w:val="2"/>
          <w:rtl/>
        </w:rPr>
        <w:t xml:space="preserve">  </w:t>
      </w:r>
      <w:r>
        <w:rPr>
          <w:rFonts w:ascii="QCF_P135" w:hAnsi="QCF_P135" w:cs="QCF_P135"/>
          <w:color w:val="000000"/>
          <w:sz w:val="29"/>
          <w:szCs w:val="29"/>
          <w:rtl/>
        </w:rPr>
        <w:t>ﰇ</w:t>
      </w:r>
      <w:r>
        <w:rPr>
          <w:rFonts w:ascii="QCF_P135" w:hAnsi="QCF_P135" w:cs="QCF_P135"/>
          <w:color w:val="000000"/>
          <w:sz w:val="2"/>
          <w:szCs w:val="2"/>
          <w:rtl/>
        </w:rPr>
        <w:t xml:space="preserve"> </w:t>
      </w:r>
      <w:r>
        <w:rPr>
          <w:rFonts w:ascii="QCF_P135" w:hAnsi="QCF_P135" w:cs="QCF_P135"/>
          <w:color w:val="000000"/>
          <w:sz w:val="29"/>
          <w:szCs w:val="29"/>
          <w:rtl/>
        </w:rPr>
        <w:t>ﰈ</w:t>
      </w:r>
      <w:r>
        <w:rPr>
          <w:rFonts w:ascii="QCF_P135" w:hAnsi="QCF_P135" w:cs="QCF_P135"/>
          <w:color w:val="000000"/>
          <w:sz w:val="2"/>
          <w:szCs w:val="2"/>
          <w:rtl/>
        </w:rPr>
        <w:t xml:space="preserve"> </w:t>
      </w:r>
      <w:r>
        <w:rPr>
          <w:rFonts w:ascii="QCF_P135" w:hAnsi="QCF_P135" w:cs="QCF_P135"/>
          <w:color w:val="000000"/>
          <w:sz w:val="29"/>
          <w:szCs w:val="29"/>
          <w:rtl/>
        </w:rPr>
        <w:t>ﰉ</w:t>
      </w:r>
      <w:r>
        <w:rPr>
          <w:rFonts w:ascii="QCF_P135" w:hAnsi="QCF_P135" w:cs="QCF_P135"/>
          <w:color w:val="000000"/>
          <w:sz w:val="2"/>
          <w:szCs w:val="2"/>
          <w:rtl/>
        </w:rPr>
        <w:t xml:space="preserve"> </w:t>
      </w:r>
      <w:r>
        <w:rPr>
          <w:rFonts w:ascii="QCF_P135" w:hAnsi="QCF_P135" w:cs="QCF_P135"/>
          <w:color w:val="000000"/>
          <w:sz w:val="29"/>
          <w:szCs w:val="29"/>
          <w:rtl/>
        </w:rPr>
        <w:t>ﰊ</w:t>
      </w:r>
      <w:r>
        <w:rPr>
          <w:rFonts w:ascii="QCF_P135" w:hAnsi="QCF_P135" w:cs="QCF_P135"/>
          <w:color w:val="000000"/>
          <w:sz w:val="2"/>
          <w:szCs w:val="2"/>
          <w:rtl/>
        </w:rPr>
        <w:t xml:space="preserve"> </w:t>
      </w:r>
      <w:r>
        <w:rPr>
          <w:rFonts w:ascii="QCF_P135" w:hAnsi="QCF_P135" w:cs="QCF_P135"/>
          <w:color w:val="000000"/>
          <w:sz w:val="29"/>
          <w:szCs w:val="29"/>
          <w:rtl/>
        </w:rPr>
        <w:t>ﰋ</w:t>
      </w:r>
      <w:r>
        <w:rPr>
          <w:rFonts w:ascii="QCF_P135" w:hAnsi="QCF_P135" w:cs="QCF_P135"/>
          <w:color w:val="000000"/>
          <w:sz w:val="2"/>
          <w:szCs w:val="2"/>
          <w:rtl/>
        </w:rPr>
        <w:t xml:space="preserve"> </w:t>
      </w:r>
      <w:r>
        <w:rPr>
          <w:rFonts w:ascii="QCF_P135" w:hAnsi="QCF_P135" w:cs="QCF_P135"/>
          <w:color w:val="000000"/>
          <w:sz w:val="29"/>
          <w:szCs w:val="29"/>
          <w:rtl/>
        </w:rPr>
        <w:t>ﰌ</w:t>
      </w:r>
      <w:r>
        <w:rPr>
          <w:rFonts w:ascii="QCF_P135" w:hAnsi="QCF_P135" w:cs="QCF_P135"/>
          <w:color w:val="000000"/>
          <w:sz w:val="2"/>
          <w:szCs w:val="2"/>
          <w:rtl/>
        </w:rPr>
        <w:t xml:space="preserve"> </w:t>
      </w:r>
      <w:r>
        <w:rPr>
          <w:rFonts w:ascii="QCF_P135" w:hAnsi="QCF_P135" w:cs="QCF_P135"/>
          <w:color w:val="000000"/>
          <w:sz w:val="29"/>
          <w:szCs w:val="29"/>
          <w:rtl/>
        </w:rPr>
        <w:t>ﰍ</w:t>
      </w:r>
      <w:r>
        <w:rPr>
          <w:rFonts w:ascii="QCF_P135" w:hAnsi="QCF_P135" w:cs="QCF_P135"/>
          <w:color w:val="000000"/>
          <w:sz w:val="2"/>
          <w:szCs w:val="2"/>
          <w:rtl/>
        </w:rPr>
        <w:t xml:space="preserve">  </w:t>
      </w:r>
      <w:r>
        <w:rPr>
          <w:rFonts w:ascii="QCF_P135" w:hAnsi="QCF_P135" w:cs="QCF_P135"/>
          <w:color w:val="000000"/>
          <w:sz w:val="29"/>
          <w:szCs w:val="29"/>
          <w:rtl/>
        </w:rPr>
        <w:t>ﰎ</w:t>
      </w:r>
      <w:r>
        <w:rPr>
          <w:rFonts w:ascii="QCF_P135" w:hAnsi="QCF_P135" w:cs="QCF_P135"/>
          <w:color w:val="000000"/>
          <w:sz w:val="2"/>
          <w:szCs w:val="2"/>
          <w:rtl/>
        </w:rPr>
        <w:t xml:space="preserve"> </w:t>
      </w:r>
      <w:r>
        <w:rPr>
          <w:rFonts w:ascii="QCF_BSML" w:hAnsi="QCF_BSML" w:cs="QCF_BSML"/>
          <w:color w:val="000000"/>
          <w:sz w:val="29"/>
          <w:szCs w:val="29"/>
          <w:rtl/>
        </w:rPr>
        <w:t>ﮊ</w:t>
      </w:r>
      <w:r>
        <w:rPr>
          <w:rFonts w:ascii="Arial" w:hAnsi="Arial"/>
          <w:color w:val="000000"/>
          <w:sz w:val="2"/>
          <w:szCs w:val="2"/>
        </w:rPr>
        <w:t xml:space="preserve"> </w:t>
      </w:r>
      <w:r w:rsidRPr="00582E5C">
        <w:rPr>
          <w:rFonts w:cs="Lotus Linotype"/>
          <w:sz w:val="26"/>
          <w:szCs w:val="26"/>
          <w:rtl/>
        </w:rPr>
        <w:t>[الأنعام: 68]</w:t>
      </w:r>
    </w:p>
    <w:p w:rsidR="00A41217" w:rsidRPr="00BA409D" w:rsidRDefault="00A41217" w:rsidP="00582E5C">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لاحظ قوله تعالى: </w:t>
      </w:r>
      <w:r w:rsidRPr="00582E5C">
        <w:rPr>
          <w:rFonts w:ascii="QCF_BSML" w:hAnsi="QCF_BSML" w:cs="QCF_BSML"/>
          <w:color w:val="000000"/>
          <w:sz w:val="30"/>
          <w:szCs w:val="30"/>
          <w:rtl/>
        </w:rPr>
        <w:t xml:space="preserve">ﮋ </w:t>
      </w:r>
      <w:r w:rsidRPr="00582E5C">
        <w:rPr>
          <w:rFonts w:ascii="QCF_P100" w:hAnsi="QCF_P100" w:cs="QCF_P100"/>
          <w:color w:val="000000"/>
          <w:sz w:val="30"/>
          <w:szCs w:val="30"/>
          <w:rtl/>
        </w:rPr>
        <w:t xml:space="preserve">ﯷ ﯸ ﯹ ﯺ ﯻﯼ </w:t>
      </w:r>
      <w:r w:rsidRPr="00582E5C">
        <w:rPr>
          <w:rFonts w:ascii="QCF_BSML" w:hAnsi="QCF_BSML" w:cs="QCF_BSML"/>
          <w:color w:val="000000"/>
          <w:sz w:val="30"/>
          <w:szCs w:val="30"/>
          <w:rtl/>
        </w:rPr>
        <w:t>ﮊ</w:t>
      </w:r>
      <w:r w:rsidRPr="00BA409D">
        <w:rPr>
          <w:rFonts w:cs="Lotus Linotype"/>
          <w:b/>
          <w:bCs/>
          <w:szCs w:val="28"/>
          <w:rtl/>
        </w:rPr>
        <w:t xml:space="preserve"> </w:t>
      </w:r>
      <w:r w:rsidRPr="00BA409D">
        <w:rPr>
          <w:rFonts w:cs="Lotus Linotype"/>
          <w:szCs w:val="28"/>
          <w:rtl/>
        </w:rPr>
        <w:t xml:space="preserve">إن الله </w:t>
      </w:r>
      <w:r w:rsidRPr="000C7E4D">
        <w:rPr>
          <w:rFonts w:ascii="Lotus Linotype" w:hAnsi="Lotus Linotype" w:cs="Lotus Linotype"/>
        </w:rPr>
        <w:sym w:font="AGA Arabesque" w:char="F049"/>
      </w:r>
      <w:r w:rsidRPr="00BA409D">
        <w:rPr>
          <w:rFonts w:cs="Lotus Linotype"/>
          <w:szCs w:val="28"/>
          <w:rtl/>
        </w:rPr>
        <w:t xml:space="preserve"> يأذن للمسلمين العارفين بدينهم الواثقين فيه والمعتدين به أن يكملوا مجلسهم مع من خاضوا في آياته متى انتهوا عن فعلهم الشنيع، فما بالك بمن يظهرون التوقير لنا ولديننا!</w:t>
      </w:r>
    </w:p>
    <w:p w:rsidR="00A41217" w:rsidRPr="00BA409D" w:rsidRDefault="00A41217" w:rsidP="00FB5C24">
      <w:pPr>
        <w:pStyle w:val="NoSpacing"/>
        <w:widowControl w:val="0"/>
        <w:spacing w:before="180" w:line="216" w:lineRule="auto"/>
        <w:ind w:firstLine="425"/>
        <w:jc w:val="lowKashida"/>
        <w:rPr>
          <w:rFonts w:cs="Lotus Linotype"/>
          <w:szCs w:val="28"/>
          <w:rtl/>
        </w:rPr>
      </w:pPr>
      <w:r w:rsidRPr="00BA409D">
        <w:rPr>
          <w:rFonts w:cs="Lotus Linotype"/>
          <w:szCs w:val="28"/>
          <w:rtl/>
        </w:rPr>
        <w:lastRenderedPageBreak/>
        <w:t>لقد أبرم رسول اللهﷺ مع اليهود وثيقة المدينة المشهورة</w:t>
      </w:r>
      <w:r w:rsidRPr="009D1715">
        <w:rPr>
          <w:position w:val="4"/>
          <w:szCs w:val="34"/>
          <w:vertAlign w:val="superscript"/>
          <w:rtl/>
        </w:rPr>
        <w:t>(</w:t>
      </w:r>
      <w:r w:rsidRPr="009D1715">
        <w:rPr>
          <w:rStyle w:val="FootnoteReference"/>
          <w:rFonts w:cs="Traditional Arabic"/>
          <w:position w:val="4"/>
          <w:szCs w:val="34"/>
          <w:rtl/>
        </w:rPr>
        <w:footnoteReference w:id="5"/>
      </w:r>
      <w:r w:rsidRPr="009D1715">
        <w:rPr>
          <w:position w:val="4"/>
          <w:szCs w:val="34"/>
          <w:vertAlign w:val="superscript"/>
          <w:rtl/>
        </w:rPr>
        <w:t>)</w:t>
      </w:r>
      <w:r w:rsidRPr="00BA409D">
        <w:rPr>
          <w:rFonts w:cs="Lotus Linotype"/>
          <w:szCs w:val="28"/>
          <w:rtl/>
        </w:rPr>
        <w:t xml:space="preserve">، وفيها إرساء لمعاني المواطنة، وذكر لنا أننا نقاتل مع الروم عدوا من دوننا، وهذا من أخطر المخالطة، وفيه الدخول في الأحلاف العسكرية مع المخالفين في الدين، وقد حالف رسول اللهﷺ خزاعة مسلمهم وكافرهم وكانوا جميعًا عيبة نصحه، وقال عن حلف شهده قبل الإسلام أبرم لغاية نصرة المظلوم ورد الحقوق إلى أصحابها: </w:t>
      </w:r>
      <w:r w:rsidRPr="00D330BE">
        <w:rPr>
          <w:rFonts w:cs="Lotus Linotype"/>
          <w:color w:val="000000"/>
          <w:spacing w:val="-4"/>
          <w:sz w:val="40"/>
          <w:szCs w:val="32"/>
          <w:rtl/>
        </w:rPr>
        <w:t>«</w:t>
      </w:r>
      <w:r w:rsidRPr="00BA409D">
        <w:rPr>
          <w:rFonts w:cs="Lotus Linotype"/>
          <w:b/>
          <w:bCs/>
          <w:szCs w:val="28"/>
          <w:rtl/>
        </w:rPr>
        <w:t>لقد شَهِدت في دار عبد الله بن جُدْعان حِلفاً ما أحبّ أنّ لي به حُمْر النّعَم، ولو أُدعَى به في الإسلام لأجَبتُ</w:t>
      </w:r>
      <w:r w:rsidRPr="00D330BE">
        <w:rPr>
          <w:rFonts w:cs="Lotus Linotype"/>
          <w:b/>
          <w:bCs/>
          <w:color w:val="000000"/>
          <w:spacing w:val="-4"/>
          <w:sz w:val="40"/>
          <w:szCs w:val="32"/>
          <w:rtl/>
        </w:rPr>
        <w:t>»</w:t>
      </w:r>
      <w:r w:rsidRPr="00BA409D">
        <w:rPr>
          <w:rFonts w:cs="Lotus Linotype"/>
          <w:szCs w:val="28"/>
          <w:rtl/>
        </w:rPr>
        <w:t xml:space="preserve"> وهذا حلف بين مشركين، ولكنه لما كان على بر، صارت الإجابة إليه من مقصود الشارع. </w:t>
      </w:r>
    </w:p>
    <w:p w:rsidR="00A41217" w:rsidRPr="00BA409D" w:rsidRDefault="00A41217" w:rsidP="00FB5C24">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إنه ليس هناك ما هو أقسى وأشد من الحروب وويلاتها، ولكنها على ذلك لا تنقض الأصل في العلاقة بين الناس وهو التواصل لا القطيعة، ولذلك أجاز أبو حنيفة </w:t>
      </w:r>
      <w:r>
        <w:rPr>
          <w:rFonts w:cs="CTraditional Arabic"/>
          <w:rtl/>
        </w:rPr>
        <w:t>:</w:t>
      </w:r>
      <w:r w:rsidRPr="00BA409D">
        <w:rPr>
          <w:rFonts w:cs="Lotus Linotype"/>
          <w:szCs w:val="28"/>
          <w:rtl/>
        </w:rPr>
        <w:t xml:space="preserve"> الاتجار مع الحربيين في كل شيء إلا السلاح والحديد.</w:t>
      </w:r>
      <w:r w:rsidRPr="00394A4E">
        <w:rPr>
          <w:position w:val="4"/>
          <w:szCs w:val="34"/>
          <w:vertAlign w:val="superscript"/>
          <w:rtl/>
        </w:rPr>
        <w:t>(</w:t>
      </w:r>
      <w:r w:rsidRPr="00394A4E">
        <w:rPr>
          <w:rStyle w:val="FootnoteReference"/>
          <w:rFonts w:cs="Traditional Arabic"/>
          <w:position w:val="4"/>
          <w:szCs w:val="34"/>
          <w:rtl/>
        </w:rPr>
        <w:footnoteReference w:id="6"/>
      </w:r>
      <w:r w:rsidRPr="00394A4E">
        <w:rPr>
          <w:position w:val="4"/>
          <w:szCs w:val="34"/>
          <w:vertAlign w:val="superscript"/>
          <w:rtl/>
        </w:rPr>
        <w:t>)</w:t>
      </w:r>
      <w:r w:rsidRPr="00BA409D">
        <w:rPr>
          <w:rFonts w:cs="Lotus Linotype"/>
          <w:szCs w:val="28"/>
          <w:rtl/>
        </w:rPr>
        <w:t xml:space="preserve"> </w:t>
      </w:r>
    </w:p>
    <w:p w:rsidR="00A41217" w:rsidRPr="00BA409D" w:rsidRDefault="00A41217" w:rsidP="00FB5C24">
      <w:pPr>
        <w:pStyle w:val="NoSpacing"/>
        <w:widowControl w:val="0"/>
        <w:spacing w:before="180" w:line="216" w:lineRule="auto"/>
        <w:ind w:firstLine="425"/>
        <w:jc w:val="lowKashida"/>
        <w:rPr>
          <w:rFonts w:cs="Lotus Linotype"/>
          <w:szCs w:val="28"/>
          <w:rtl/>
        </w:rPr>
      </w:pPr>
      <w:r w:rsidRPr="00BA409D">
        <w:rPr>
          <w:rFonts w:cs="Lotus Linotype"/>
          <w:szCs w:val="28"/>
          <w:rtl/>
        </w:rPr>
        <w:t>يروى أنه في مدة الحديبية بلغ النبيﷺ أن قريشاً أصابتهم جائحة، فأرسل مع حاطب بن أبي بلتعة إلى أبي سفيان خمسمائة دينار ليشتري بها قمحًا، ويوزعها على فقراء قريش. وفي أثناء الحرب، تنقطع العلاقات بين المسلمين والمحاربين، لكن رعايا تلك الدول الذين لا يشتركون في القتال لا تنقطع الصلة بهم، ولذلك لا يمنع قيام الحرب وجود مستأمنين في الديار الإسلامية، من رعايا تلك البلاد، لا يمسون في أموالهم ولا أنفسهم.</w:t>
      </w:r>
      <w:r w:rsidRPr="00394A4E">
        <w:rPr>
          <w:position w:val="4"/>
          <w:szCs w:val="34"/>
          <w:vertAlign w:val="superscript"/>
          <w:rtl/>
        </w:rPr>
        <w:t>(</w:t>
      </w:r>
      <w:r w:rsidRPr="00394A4E">
        <w:rPr>
          <w:rStyle w:val="FootnoteReference"/>
          <w:rFonts w:cs="Traditional Arabic"/>
          <w:color w:val="222222"/>
          <w:position w:val="4"/>
          <w:szCs w:val="34"/>
          <w:rtl/>
        </w:rPr>
        <w:footnoteReference w:id="7"/>
      </w:r>
      <w:r w:rsidRPr="00394A4E">
        <w:rPr>
          <w:position w:val="4"/>
          <w:szCs w:val="34"/>
          <w:vertAlign w:val="superscript"/>
          <w:rtl/>
        </w:rPr>
        <w:t>)</w:t>
      </w:r>
      <w:r w:rsidRPr="00BA409D">
        <w:rPr>
          <w:rFonts w:cs="Lotus Linotype"/>
          <w:szCs w:val="28"/>
          <w:vertAlign w:val="superscript"/>
          <w:rtl/>
        </w:rPr>
        <w:t xml:space="preserve"> </w:t>
      </w:r>
    </w:p>
    <w:p w:rsidR="00A41217" w:rsidRPr="00BA409D" w:rsidRDefault="00A41217" w:rsidP="00FB5C24">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ومن أعظم ما أباحه الله </w:t>
      </w:r>
      <w:r w:rsidRPr="000C7E4D">
        <w:rPr>
          <w:rFonts w:ascii="Lotus Linotype" w:hAnsi="Lotus Linotype" w:cs="Lotus Linotype"/>
        </w:rPr>
        <w:sym w:font="AGA Arabesque" w:char="F049"/>
      </w:r>
      <w:r w:rsidRPr="00BA409D">
        <w:rPr>
          <w:rFonts w:cs="Lotus Linotype"/>
          <w:szCs w:val="28"/>
          <w:rtl/>
        </w:rPr>
        <w:t xml:space="preserve"> من المخالطة للمخالفين في الدين المصاهرة، وقد قال: </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406" w:hAnsi="QCF_P406" w:cs="QCF_P406"/>
          <w:color w:val="000000"/>
          <w:sz w:val="29"/>
          <w:szCs w:val="29"/>
          <w:rtl/>
        </w:rPr>
        <w:t>ﮉ</w:t>
      </w:r>
      <w:r>
        <w:rPr>
          <w:rFonts w:ascii="QCF_P406" w:hAnsi="QCF_P406" w:cs="QCF_P406"/>
          <w:color w:val="000000"/>
          <w:sz w:val="2"/>
          <w:szCs w:val="2"/>
          <w:rtl/>
        </w:rPr>
        <w:t xml:space="preserve"> </w:t>
      </w:r>
      <w:r>
        <w:rPr>
          <w:rFonts w:ascii="QCF_P406" w:hAnsi="QCF_P406" w:cs="QCF_P406"/>
          <w:color w:val="000000"/>
          <w:sz w:val="29"/>
          <w:szCs w:val="29"/>
          <w:rtl/>
        </w:rPr>
        <w:t>ﮊ</w:t>
      </w:r>
      <w:r>
        <w:rPr>
          <w:rFonts w:ascii="QCF_P406" w:hAnsi="QCF_P406" w:cs="QCF_P406"/>
          <w:color w:val="000000"/>
          <w:sz w:val="2"/>
          <w:szCs w:val="2"/>
          <w:rtl/>
        </w:rPr>
        <w:t xml:space="preserve"> </w:t>
      </w:r>
      <w:r>
        <w:rPr>
          <w:rFonts w:ascii="QCF_P406" w:hAnsi="QCF_P406" w:cs="QCF_P406"/>
          <w:color w:val="000000"/>
          <w:sz w:val="29"/>
          <w:szCs w:val="29"/>
          <w:rtl/>
        </w:rPr>
        <w:t>ﮋ</w:t>
      </w:r>
      <w:r>
        <w:rPr>
          <w:rFonts w:ascii="QCF_P406" w:hAnsi="QCF_P406" w:cs="QCF_P406"/>
          <w:color w:val="000000"/>
          <w:sz w:val="2"/>
          <w:szCs w:val="2"/>
          <w:rtl/>
        </w:rPr>
        <w:t xml:space="preserve"> </w:t>
      </w:r>
      <w:r>
        <w:rPr>
          <w:rFonts w:ascii="QCF_P406" w:hAnsi="QCF_P406" w:cs="QCF_P406"/>
          <w:color w:val="000000"/>
          <w:sz w:val="29"/>
          <w:szCs w:val="29"/>
          <w:rtl/>
        </w:rPr>
        <w:t>ﮌ</w:t>
      </w:r>
      <w:r>
        <w:rPr>
          <w:rFonts w:ascii="QCF_P406" w:hAnsi="QCF_P406" w:cs="QCF_P406"/>
          <w:color w:val="000000"/>
          <w:sz w:val="2"/>
          <w:szCs w:val="2"/>
          <w:rtl/>
        </w:rPr>
        <w:t xml:space="preserve"> </w:t>
      </w:r>
      <w:r>
        <w:rPr>
          <w:rFonts w:ascii="QCF_P406" w:hAnsi="QCF_P406" w:cs="QCF_P406"/>
          <w:color w:val="000000"/>
          <w:sz w:val="29"/>
          <w:szCs w:val="29"/>
          <w:rtl/>
        </w:rPr>
        <w:t>ﮍ</w:t>
      </w:r>
      <w:r>
        <w:rPr>
          <w:rFonts w:ascii="QCF_P406" w:hAnsi="QCF_P406" w:cs="QCF_P406"/>
          <w:color w:val="000000"/>
          <w:sz w:val="2"/>
          <w:szCs w:val="2"/>
          <w:rtl/>
        </w:rPr>
        <w:t xml:space="preserve"> </w:t>
      </w:r>
      <w:r>
        <w:rPr>
          <w:rFonts w:ascii="QCF_P406" w:hAnsi="QCF_P406" w:cs="QCF_P406"/>
          <w:color w:val="000000"/>
          <w:sz w:val="29"/>
          <w:szCs w:val="29"/>
          <w:rtl/>
        </w:rPr>
        <w:t>ﮎ</w:t>
      </w:r>
      <w:r>
        <w:rPr>
          <w:rFonts w:ascii="QCF_P406" w:hAnsi="QCF_P406" w:cs="QCF_P406"/>
          <w:color w:val="000000"/>
          <w:sz w:val="2"/>
          <w:szCs w:val="2"/>
          <w:rtl/>
        </w:rPr>
        <w:t xml:space="preserve"> </w:t>
      </w:r>
      <w:r>
        <w:rPr>
          <w:rFonts w:ascii="QCF_P406" w:hAnsi="QCF_P406" w:cs="QCF_P406"/>
          <w:color w:val="000000"/>
          <w:sz w:val="29"/>
          <w:szCs w:val="29"/>
          <w:rtl/>
        </w:rPr>
        <w:t>ﮏ</w:t>
      </w:r>
      <w:r>
        <w:rPr>
          <w:rFonts w:ascii="QCF_P406" w:hAnsi="QCF_P406" w:cs="QCF_P406"/>
          <w:color w:val="000000"/>
          <w:sz w:val="2"/>
          <w:szCs w:val="2"/>
          <w:rtl/>
        </w:rPr>
        <w:t xml:space="preserve">  </w:t>
      </w:r>
      <w:r>
        <w:rPr>
          <w:rFonts w:ascii="QCF_P406" w:hAnsi="QCF_P406" w:cs="QCF_P406"/>
          <w:color w:val="000000"/>
          <w:sz w:val="29"/>
          <w:szCs w:val="29"/>
          <w:rtl/>
        </w:rPr>
        <w:t>ﮐ</w:t>
      </w:r>
      <w:r>
        <w:rPr>
          <w:rFonts w:ascii="QCF_P406" w:hAnsi="QCF_P406" w:cs="QCF_P406"/>
          <w:color w:val="000000"/>
          <w:sz w:val="2"/>
          <w:szCs w:val="2"/>
          <w:rtl/>
        </w:rPr>
        <w:t xml:space="preserve"> </w:t>
      </w:r>
      <w:r>
        <w:rPr>
          <w:rFonts w:ascii="QCF_P406" w:hAnsi="QCF_P406" w:cs="QCF_P406"/>
          <w:color w:val="000000"/>
          <w:sz w:val="29"/>
          <w:szCs w:val="29"/>
          <w:rtl/>
        </w:rPr>
        <w:t>ﮑ</w:t>
      </w:r>
      <w:r>
        <w:rPr>
          <w:rFonts w:ascii="QCF_P406" w:hAnsi="QCF_P406" w:cs="QCF_P406"/>
          <w:color w:val="000000"/>
          <w:sz w:val="2"/>
          <w:szCs w:val="2"/>
          <w:rtl/>
        </w:rPr>
        <w:t xml:space="preserve"> </w:t>
      </w:r>
      <w:r>
        <w:rPr>
          <w:rFonts w:ascii="QCF_P406" w:hAnsi="QCF_P406" w:cs="QCF_P406"/>
          <w:color w:val="000000"/>
          <w:sz w:val="29"/>
          <w:szCs w:val="29"/>
          <w:rtl/>
        </w:rPr>
        <w:t>ﮒ</w:t>
      </w:r>
      <w:r>
        <w:rPr>
          <w:rFonts w:ascii="QCF_P406" w:hAnsi="QCF_P406" w:cs="QCF_P406"/>
          <w:color w:val="000000"/>
          <w:sz w:val="2"/>
          <w:szCs w:val="2"/>
          <w:rtl/>
        </w:rPr>
        <w:t xml:space="preserve"> </w:t>
      </w:r>
      <w:r>
        <w:rPr>
          <w:rFonts w:ascii="QCF_P406" w:hAnsi="QCF_P406" w:cs="QCF_P406"/>
          <w:color w:val="000000"/>
          <w:sz w:val="29"/>
          <w:szCs w:val="29"/>
          <w:rtl/>
        </w:rPr>
        <w:t>ﮓ</w:t>
      </w:r>
      <w:r>
        <w:rPr>
          <w:rFonts w:ascii="QCF_P406" w:hAnsi="QCF_P406" w:cs="QCF_P406"/>
          <w:color w:val="000000"/>
          <w:sz w:val="2"/>
          <w:szCs w:val="2"/>
          <w:rtl/>
        </w:rPr>
        <w:t xml:space="preserve"> </w:t>
      </w:r>
      <w:r>
        <w:rPr>
          <w:rFonts w:ascii="QCF_P406" w:hAnsi="QCF_P406" w:cs="QCF_P406"/>
          <w:color w:val="000000"/>
          <w:sz w:val="29"/>
          <w:szCs w:val="29"/>
          <w:rtl/>
        </w:rPr>
        <w:t>ﮔ</w:t>
      </w:r>
      <w:r>
        <w:rPr>
          <w:rFonts w:ascii="QCF_P406" w:hAnsi="QCF_P406" w:cs="QCF_P406"/>
          <w:color w:val="000000"/>
          <w:sz w:val="2"/>
          <w:szCs w:val="2"/>
          <w:rtl/>
        </w:rPr>
        <w:t xml:space="preserve"> </w:t>
      </w:r>
      <w:r>
        <w:rPr>
          <w:rFonts w:ascii="QCF_P406" w:hAnsi="QCF_P406" w:cs="QCF_P406"/>
          <w:color w:val="000000"/>
          <w:sz w:val="29"/>
          <w:szCs w:val="29"/>
          <w:rtl/>
        </w:rPr>
        <w:t>ﮕ</w:t>
      </w:r>
      <w:r>
        <w:rPr>
          <w:rFonts w:ascii="QCF_P406" w:hAnsi="QCF_P406" w:cs="QCF_P406"/>
          <w:color w:val="000000"/>
          <w:sz w:val="2"/>
          <w:szCs w:val="2"/>
          <w:rtl/>
        </w:rPr>
        <w:t xml:space="preserve"> </w:t>
      </w:r>
      <w:r>
        <w:rPr>
          <w:rFonts w:ascii="QCF_P406" w:hAnsi="QCF_P406" w:cs="QCF_P406"/>
          <w:color w:val="000000"/>
          <w:sz w:val="29"/>
          <w:szCs w:val="29"/>
          <w:rtl/>
        </w:rPr>
        <w:t>ﮖﮗ</w:t>
      </w:r>
      <w:r>
        <w:rPr>
          <w:rFonts w:ascii="QCF_P406" w:hAnsi="QCF_P406" w:cs="QCF_P406"/>
          <w:color w:val="000000"/>
          <w:sz w:val="2"/>
          <w:szCs w:val="2"/>
          <w:rtl/>
        </w:rPr>
        <w:t xml:space="preserve">  </w:t>
      </w:r>
      <w:r>
        <w:rPr>
          <w:rFonts w:ascii="QCF_P406" w:hAnsi="QCF_P406" w:cs="QCF_P406"/>
          <w:color w:val="000000"/>
          <w:sz w:val="29"/>
          <w:szCs w:val="29"/>
          <w:rtl/>
        </w:rPr>
        <w:t>ﮘ</w:t>
      </w:r>
      <w:r>
        <w:rPr>
          <w:rFonts w:ascii="QCF_P406" w:hAnsi="QCF_P406" w:cs="QCF_P406"/>
          <w:color w:val="000000"/>
          <w:sz w:val="2"/>
          <w:szCs w:val="2"/>
          <w:rtl/>
        </w:rPr>
        <w:t xml:space="preserve"> </w:t>
      </w:r>
      <w:r>
        <w:rPr>
          <w:rFonts w:ascii="QCF_P406" w:hAnsi="QCF_P406" w:cs="QCF_P406"/>
          <w:color w:val="000000"/>
          <w:sz w:val="29"/>
          <w:szCs w:val="29"/>
          <w:rtl/>
        </w:rPr>
        <w:t>ﮙ</w:t>
      </w:r>
      <w:r>
        <w:rPr>
          <w:rFonts w:ascii="QCF_P406" w:hAnsi="QCF_P406" w:cs="QCF_P406"/>
          <w:color w:val="000000"/>
          <w:sz w:val="2"/>
          <w:szCs w:val="2"/>
          <w:rtl/>
        </w:rPr>
        <w:t xml:space="preserve"> </w:t>
      </w:r>
      <w:r>
        <w:rPr>
          <w:rFonts w:ascii="QCF_P406" w:hAnsi="QCF_P406" w:cs="QCF_P406"/>
          <w:color w:val="000000"/>
          <w:sz w:val="29"/>
          <w:szCs w:val="29"/>
          <w:rtl/>
        </w:rPr>
        <w:t>ﮚ</w:t>
      </w:r>
      <w:r>
        <w:rPr>
          <w:rFonts w:ascii="QCF_P406" w:hAnsi="QCF_P406" w:cs="QCF_P406"/>
          <w:color w:val="000000"/>
          <w:sz w:val="2"/>
          <w:szCs w:val="2"/>
          <w:rtl/>
        </w:rPr>
        <w:t xml:space="preserve"> </w:t>
      </w:r>
      <w:r>
        <w:rPr>
          <w:rFonts w:ascii="QCF_P406" w:hAnsi="QCF_P406" w:cs="QCF_P406"/>
          <w:color w:val="000000"/>
          <w:sz w:val="29"/>
          <w:szCs w:val="29"/>
          <w:rtl/>
        </w:rPr>
        <w:t>ﮛ</w:t>
      </w:r>
      <w:r>
        <w:rPr>
          <w:rFonts w:ascii="QCF_P406" w:hAnsi="QCF_P406" w:cs="QCF_P406"/>
          <w:color w:val="000000"/>
          <w:sz w:val="2"/>
          <w:szCs w:val="2"/>
          <w:rtl/>
        </w:rPr>
        <w:t xml:space="preserve"> </w:t>
      </w:r>
      <w:r>
        <w:rPr>
          <w:rFonts w:ascii="QCF_P406" w:hAnsi="QCF_P406" w:cs="QCF_P406"/>
          <w:color w:val="000000"/>
          <w:sz w:val="29"/>
          <w:szCs w:val="29"/>
          <w:rtl/>
        </w:rPr>
        <w:t>ﮜ</w:t>
      </w:r>
      <w:r>
        <w:rPr>
          <w:rFonts w:ascii="QCF_P406" w:hAnsi="QCF_P406" w:cs="QCF_P406"/>
          <w:color w:val="000000"/>
          <w:sz w:val="2"/>
          <w:szCs w:val="2"/>
          <w:rtl/>
        </w:rPr>
        <w:t xml:space="preserve">   </w:t>
      </w:r>
      <w:r>
        <w:rPr>
          <w:rFonts w:ascii="QCF_P406" w:hAnsi="QCF_P406" w:cs="QCF_P406"/>
          <w:color w:val="000000"/>
          <w:sz w:val="29"/>
          <w:szCs w:val="29"/>
          <w:rtl/>
        </w:rPr>
        <w:t>ﮝ</w:t>
      </w:r>
      <w:r>
        <w:rPr>
          <w:rFonts w:ascii="QCF_P406" w:hAnsi="QCF_P406" w:cs="QCF_P406"/>
          <w:color w:val="000000"/>
          <w:sz w:val="2"/>
          <w:szCs w:val="2"/>
          <w:rtl/>
        </w:rPr>
        <w:t xml:space="preserve"> </w:t>
      </w:r>
      <w:r>
        <w:rPr>
          <w:rFonts w:ascii="QCF_BSML" w:hAnsi="QCF_BSML" w:cs="QCF_BSML"/>
          <w:color w:val="000000"/>
          <w:sz w:val="29"/>
          <w:szCs w:val="29"/>
          <w:rtl/>
        </w:rPr>
        <w:t>ﮊ</w:t>
      </w:r>
      <w:r w:rsidRPr="00FB5C24">
        <w:rPr>
          <w:rFonts w:cs="Lotus Linotype"/>
          <w:sz w:val="32"/>
          <w:szCs w:val="26"/>
          <w:rtl/>
        </w:rPr>
        <w:t>[الروم: 21]</w:t>
      </w:r>
      <w:r w:rsidRPr="00BA409D">
        <w:rPr>
          <w:rFonts w:cs="Lotus Linotype"/>
          <w:szCs w:val="28"/>
          <w:rtl/>
        </w:rPr>
        <w:t xml:space="preserve"> إن هذه المخالطة تجعل لغير المسلم على المسلم أمومة وخؤولة وهذه صلات وثيقة تبل ببِلالها، ولا يمنع من ذلك اختلاف الدين. </w:t>
      </w:r>
    </w:p>
    <w:p w:rsidR="00A41217" w:rsidRPr="00BA409D" w:rsidRDefault="00A41217" w:rsidP="00FB5C24">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وبالإضافة إلى مصلحة دعوتهم إلى الإسلام، فقد يكون في مخالطة غير المسلمين - عقلائهم وفجارهم - مصالح دنيوية لا يمنع منها المسلمون، بل ويكون فيها أحيانًا مصالح دينية، فعن أبي هريرة رضي الله عنه أن رسول اللهﷺ قال: </w:t>
      </w:r>
      <w:r w:rsidRPr="00D330BE">
        <w:rPr>
          <w:rFonts w:cs="Lotus Linotype"/>
          <w:color w:val="000000"/>
          <w:spacing w:val="-4"/>
          <w:sz w:val="40"/>
          <w:szCs w:val="32"/>
          <w:rtl/>
        </w:rPr>
        <w:t>«</w:t>
      </w:r>
      <w:r w:rsidRPr="00BA409D">
        <w:rPr>
          <w:rFonts w:cs="Lotus Linotype"/>
          <w:b/>
          <w:bCs/>
          <w:szCs w:val="28"/>
          <w:rtl/>
        </w:rPr>
        <w:t>... وَإِنَّ اللَّهَ لَيُؤَيِّدُ هَذَا الدِّينَ بِالرَّجُلِ الْفَاجِرِ</w:t>
      </w:r>
      <w:r w:rsidRPr="00B905DE">
        <w:rPr>
          <w:rFonts w:cs="Lotus Linotype"/>
          <w:b/>
          <w:bCs/>
          <w:color w:val="000000"/>
          <w:spacing w:val="-4"/>
          <w:sz w:val="40"/>
          <w:szCs w:val="32"/>
          <w:rtl/>
        </w:rPr>
        <w:t>»</w:t>
      </w:r>
      <w:r w:rsidRPr="00BA409D">
        <w:rPr>
          <w:rFonts w:cs="Lotus Linotype"/>
          <w:szCs w:val="28"/>
          <w:rtl/>
        </w:rPr>
        <w:t xml:space="preserve"> (ق) أما قولهﷺ </w:t>
      </w:r>
      <w:r w:rsidRPr="00D330BE">
        <w:rPr>
          <w:rFonts w:cs="Lotus Linotype"/>
          <w:color w:val="000000"/>
          <w:spacing w:val="-4"/>
          <w:sz w:val="40"/>
          <w:szCs w:val="32"/>
          <w:rtl/>
        </w:rPr>
        <w:t>«</w:t>
      </w:r>
      <w:r w:rsidRPr="00BA409D">
        <w:rPr>
          <w:rFonts w:cs="Lotus Linotype"/>
          <w:b/>
          <w:bCs/>
          <w:szCs w:val="28"/>
          <w:rtl/>
        </w:rPr>
        <w:t>لا نَستَعِين بمُشْرِك</w:t>
      </w:r>
      <w:r w:rsidRPr="00B905DE">
        <w:rPr>
          <w:rFonts w:cs="Lotus Linotype"/>
          <w:b/>
          <w:bCs/>
          <w:color w:val="000000"/>
          <w:spacing w:val="-4"/>
          <w:sz w:val="40"/>
          <w:szCs w:val="32"/>
          <w:rtl/>
        </w:rPr>
        <w:t>»</w:t>
      </w:r>
      <w:r w:rsidRPr="00BA409D">
        <w:rPr>
          <w:rFonts w:cs="Lotus Linotype"/>
          <w:szCs w:val="28"/>
          <w:rtl/>
        </w:rPr>
        <w:t xml:space="preserve"> فهو إما خاص بذلك الوقت كما ذهب إليه الشافعي </w:t>
      </w:r>
      <w:r>
        <w:rPr>
          <w:rFonts w:cs="CTraditional Arabic"/>
          <w:rtl/>
        </w:rPr>
        <w:lastRenderedPageBreak/>
        <w:t>:</w:t>
      </w:r>
      <w:r w:rsidRPr="00BA409D">
        <w:rPr>
          <w:rFonts w:cs="Lotus Linotype"/>
          <w:szCs w:val="28"/>
          <w:rtl/>
        </w:rPr>
        <w:t xml:space="preserve"> وحجته شهود صفوان بن أمية حنينا معهﷺ وهو مشرك، وقيل إنهﷺ تفرس في الذي قال له لا أستعين بمشرك الرغبة في الإسلام فرده رجاء أن يسلم، وقيل الأمر إلى رأي الإمام، ولعل الخلاصة هي جواز الاستعانة إن كانت مصلحتها أربى على مفسدتها. </w:t>
      </w:r>
    </w:p>
    <w:p w:rsidR="00A41217" w:rsidRPr="00BA409D" w:rsidRDefault="00A41217" w:rsidP="00FD0A69">
      <w:pPr>
        <w:pStyle w:val="NoSpacing"/>
        <w:widowControl w:val="0"/>
        <w:spacing w:before="180" w:line="216" w:lineRule="auto"/>
        <w:ind w:firstLine="425"/>
        <w:jc w:val="lowKashida"/>
        <w:rPr>
          <w:rFonts w:cs="Lotus Linotype"/>
          <w:szCs w:val="28"/>
          <w:rtl/>
          <w:lang w:eastAsia="ar-SA"/>
        </w:rPr>
      </w:pPr>
      <w:r w:rsidRPr="00BA409D">
        <w:rPr>
          <w:rFonts w:cs="Lotus Linotype"/>
          <w:szCs w:val="28"/>
          <w:rtl/>
        </w:rPr>
        <w:t xml:space="preserve">إن المحققين من أهل العلم يراعون مآلات الأعمال، والفتوى التي لا تراعي ذلك قاصرة، يقول الإمام الشاطبي </w:t>
      </w:r>
      <w:r>
        <w:rPr>
          <w:rFonts w:cs="CTraditional Arabic"/>
          <w:rtl/>
        </w:rPr>
        <w:t>:</w:t>
      </w:r>
      <w:r w:rsidRPr="00BA409D">
        <w:rPr>
          <w:rFonts w:cs="Lotus Linotype"/>
          <w:szCs w:val="28"/>
          <w:rtl/>
        </w:rPr>
        <w:t>: «</w:t>
      </w:r>
      <w:r w:rsidRPr="00BA409D">
        <w:rPr>
          <w:rFonts w:cs="Lotus Linotype"/>
          <w:b/>
          <w:bCs/>
          <w:szCs w:val="28"/>
          <w:rtl/>
        </w:rPr>
        <w:t xml:space="preserve">النظر في مآلات </w:t>
      </w:r>
      <w:r w:rsidRPr="00BA409D">
        <w:rPr>
          <w:rFonts w:cs="Lotus Linotype"/>
          <w:szCs w:val="28"/>
          <w:rtl/>
        </w:rPr>
        <w:t>الأفعال</w:t>
      </w:r>
      <w:r w:rsidRPr="00BA409D">
        <w:rPr>
          <w:rFonts w:cs="Lotus Linotype"/>
          <w:b/>
          <w:bCs/>
          <w:szCs w:val="28"/>
          <w:rtl/>
        </w:rPr>
        <w:t xml:space="preserve"> معتبر مقصود شرعًا كانت الأفعال موافقة أو مخالفة، وذلك أن المجتهد لا يحكم على فعل من الأفعال الصادرة عن المكلفين بالإقدام أو بالإحجام إلا بعد نظره إلى ما يؤول إليه ذلك الفعل، فقد يكون مشروعا لمصلحة فيه تستجلب أو لمفسدة تدرأ ولكن له مآل على خلاف ما قصد فيه، وقد يكون غير مشروع لمفسدة تنشأ عنه أو مصلحة تندفع به ولكن له مآل على خلاف ذلك ... وهو مجال للمجتهد صعب المورد إلا أنه عذب المذاق محمود الغبّ جار على مقاصد الشريعة</w:t>
      </w:r>
      <w:r w:rsidRPr="00BA409D">
        <w:rPr>
          <w:rFonts w:cs="Lotus Linotype"/>
          <w:szCs w:val="28"/>
          <w:rtl/>
        </w:rPr>
        <w:t>»</w:t>
      </w:r>
      <w:r w:rsidRPr="004972B0">
        <w:rPr>
          <w:position w:val="4"/>
          <w:szCs w:val="34"/>
          <w:vertAlign w:val="superscript"/>
          <w:rtl/>
        </w:rPr>
        <w:t>(</w:t>
      </w:r>
      <w:r w:rsidRPr="004972B0">
        <w:rPr>
          <w:rStyle w:val="FootnoteReference"/>
          <w:rFonts w:cs="Traditional Arabic"/>
          <w:position w:val="4"/>
          <w:szCs w:val="34"/>
          <w:rtl/>
        </w:rPr>
        <w:footnoteReference w:id="8"/>
      </w:r>
      <w:r w:rsidRPr="004972B0">
        <w:rPr>
          <w:position w:val="4"/>
          <w:szCs w:val="34"/>
          <w:vertAlign w:val="superscript"/>
          <w:rtl/>
        </w:rPr>
        <w:t>)</w:t>
      </w:r>
      <w:r w:rsidRPr="00BA409D">
        <w:rPr>
          <w:rFonts w:cs="Lotus Linotype"/>
          <w:szCs w:val="28"/>
          <w:rtl/>
        </w:rPr>
        <w:t>.</w:t>
      </w:r>
      <w:r w:rsidRPr="00BA409D">
        <w:rPr>
          <w:rFonts w:cs="Lotus Linotype"/>
          <w:szCs w:val="28"/>
          <w:rtl/>
          <w:lang w:eastAsia="ar-SA"/>
        </w:rPr>
        <w:t xml:space="preserve"> </w:t>
      </w:r>
    </w:p>
    <w:p w:rsidR="00A41217" w:rsidRPr="00BA409D" w:rsidRDefault="00A41217" w:rsidP="00D34281">
      <w:pPr>
        <w:pStyle w:val="NoSpacing"/>
        <w:widowControl w:val="0"/>
        <w:spacing w:before="180" w:line="216" w:lineRule="auto"/>
        <w:ind w:firstLine="425"/>
        <w:jc w:val="lowKashida"/>
        <w:rPr>
          <w:rFonts w:cs="Lotus Linotype"/>
          <w:szCs w:val="28"/>
          <w:rtl/>
        </w:rPr>
      </w:pPr>
      <w:r w:rsidRPr="00BA409D">
        <w:rPr>
          <w:rFonts w:cs="Lotus Linotype"/>
          <w:szCs w:val="28"/>
          <w:rtl/>
        </w:rPr>
        <w:t>ولا شك أن هذا الكلام عليه نور الشريعة الغراء، أليس رسول اللهﷺ قد ترك إعادة بناء البيت على قواعد إبراهيم حتى لا يكون في ذلك فتنة لقريش وترك قتل المنافقين مع جرائمهم حتى لا يتحدث الناس أن محمدًا يقتل أصحابه</w:t>
      </w:r>
      <w:r w:rsidRPr="004972B0">
        <w:rPr>
          <w:position w:val="4"/>
          <w:szCs w:val="34"/>
          <w:vertAlign w:val="superscript"/>
          <w:rtl/>
        </w:rPr>
        <w:t>(</w:t>
      </w:r>
      <w:r w:rsidRPr="004972B0">
        <w:rPr>
          <w:rStyle w:val="FootnoteReference"/>
          <w:rFonts w:cs="Traditional Arabic"/>
          <w:position w:val="4"/>
          <w:szCs w:val="34"/>
          <w:rtl/>
        </w:rPr>
        <w:footnoteReference w:id="9"/>
      </w:r>
      <w:r w:rsidRPr="004972B0">
        <w:rPr>
          <w:position w:val="4"/>
          <w:szCs w:val="34"/>
          <w:vertAlign w:val="superscript"/>
          <w:rtl/>
        </w:rPr>
        <w:t>)</w:t>
      </w:r>
      <w:r w:rsidRPr="00BA409D">
        <w:rPr>
          <w:rFonts w:cs="Lotus Linotype"/>
          <w:szCs w:val="28"/>
          <w:rtl/>
        </w:rPr>
        <w:t>, ومن هذا الباب نهي ابن تيمية - رحمه الله - أصحابه أن ينكروا على التتار شرب الخمر لأن الخمر لا تصدهم عن الصلاة وذكر الله بل عن قتل الأبرياء وسلب أموالهم</w:t>
      </w:r>
      <w:r w:rsidRPr="004972B0">
        <w:rPr>
          <w:position w:val="4"/>
          <w:szCs w:val="34"/>
          <w:vertAlign w:val="superscript"/>
          <w:rtl/>
        </w:rPr>
        <w:t>(</w:t>
      </w:r>
      <w:r w:rsidRPr="004972B0">
        <w:rPr>
          <w:rStyle w:val="FootnoteReference"/>
          <w:rFonts w:cs="Traditional Arabic"/>
          <w:position w:val="4"/>
          <w:szCs w:val="34"/>
          <w:rtl/>
        </w:rPr>
        <w:footnoteReference w:id="10"/>
      </w:r>
      <w:r w:rsidRPr="004972B0">
        <w:rPr>
          <w:position w:val="4"/>
          <w:szCs w:val="34"/>
          <w:vertAlign w:val="superscript"/>
          <w:rtl/>
        </w:rPr>
        <w:t>)</w:t>
      </w:r>
      <w:r w:rsidRPr="00BA409D">
        <w:rPr>
          <w:rFonts w:cs="Lotus Linotype"/>
          <w:szCs w:val="28"/>
          <w:rtl/>
        </w:rPr>
        <w:t>.</w:t>
      </w:r>
    </w:p>
    <w:p w:rsidR="00A41217" w:rsidRPr="00BA409D" w:rsidRDefault="00A41217" w:rsidP="00D34281">
      <w:pPr>
        <w:pStyle w:val="NoSpacing"/>
        <w:widowControl w:val="0"/>
        <w:spacing w:before="180" w:line="216" w:lineRule="auto"/>
        <w:ind w:firstLine="425"/>
        <w:jc w:val="lowKashida"/>
        <w:rPr>
          <w:rFonts w:cs="Lotus Linotype"/>
          <w:szCs w:val="28"/>
          <w:rtl/>
        </w:rPr>
      </w:pPr>
      <w:r w:rsidRPr="00BA409D">
        <w:rPr>
          <w:rFonts w:cs="Lotus Linotype"/>
          <w:szCs w:val="28"/>
          <w:rtl/>
        </w:rPr>
        <w:t>إن مآل منع المسلمين من كل المجالس والمحافل التي تحوي شيئا من المنكر هو المزيد من عزلتهم وجهل الناس بهم وشكهم فيهم وبغضهم لهم، وفيه حجب البلاغ عن الناس وحرمانهم منه، وفيه تعطيل لحركة الحياة وعمارة الأرض، وفيه قطع للرحم الأولى الجامعة بين بني آدم وأحيانًا للرحم الأقرب عند اختلاف الدين في العائلة الواحدة.</w:t>
      </w:r>
    </w:p>
    <w:p w:rsidR="00A41217" w:rsidRPr="00D34281" w:rsidRDefault="00A41217" w:rsidP="00D34281">
      <w:pPr>
        <w:pStyle w:val="Heading2"/>
        <w:keepNext w:val="0"/>
        <w:keepLines w:val="0"/>
        <w:widowControl w:val="0"/>
        <w:spacing w:before="240" w:line="216" w:lineRule="auto"/>
        <w:rPr>
          <w:rFonts w:cs="الحوكمي عنوان2"/>
          <w:b w:val="0"/>
          <w:bCs w:val="0"/>
          <w:sz w:val="28"/>
          <w:szCs w:val="28"/>
          <w:rtl/>
        </w:rPr>
      </w:pPr>
      <w:bookmarkStart w:id="11" w:name="_Toc444382227"/>
      <w:r w:rsidRPr="00D34281">
        <w:rPr>
          <w:rFonts w:cs="الحوكمي عنوان2"/>
          <w:b w:val="0"/>
          <w:bCs w:val="0"/>
          <w:sz w:val="28"/>
          <w:szCs w:val="28"/>
          <w:rtl/>
        </w:rPr>
        <w:t>أحكام وآداب المخالطة:</w:t>
      </w:r>
      <w:bookmarkEnd w:id="11"/>
    </w:p>
    <w:p w:rsidR="00A41217" w:rsidRPr="00BA409D" w:rsidRDefault="00A41217" w:rsidP="002F4C43">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لا شك أن كون الإسلام داعيًا إلى التواصل مع الآخرين ومخالطتهم وبر غير المعتدين منهم لا يعني أنه لا يحرص على سلامة دين أتباعه من الآثار الضارة لمخالطة الغافلين وأهل الأهواء أو المعاندين والمنكرين لأصل الدين والكافرين به والجاحدين له. إنه وإن ساغ أن يكون للمرء المسلم من خاصته من غير المسلمين من يكون منه كما كان أبو طالب من رسول </w:t>
      </w:r>
      <w:r w:rsidRPr="00BA409D">
        <w:rPr>
          <w:rFonts w:cs="Lotus Linotype"/>
          <w:szCs w:val="28"/>
          <w:rtl/>
        </w:rPr>
        <w:lastRenderedPageBreak/>
        <w:t xml:space="preserve">الله، وقد يكون والدًا أو خالًا أو أختًا أو غير ذلك، إلا أن الأصل أن تكون بطانة المرء وخاصته وشعاره من الأتقياء الذين يذكرونه إذا نسي ويعينونه إذا ذكر. قال الله </w:t>
      </w:r>
      <w:r w:rsidRPr="000C7E4D">
        <w:rPr>
          <w:rFonts w:ascii="Lotus Linotype" w:hAnsi="Lotus Linotype" w:cs="Lotus Linotype"/>
        </w:rPr>
        <w:sym w:font="AGA Arabesque" w:char="F049"/>
      </w:r>
      <w:r w:rsidRPr="00BA409D">
        <w:rPr>
          <w:rFonts w:cs="Lotus Linotype"/>
          <w:szCs w:val="28"/>
          <w:rtl/>
        </w:rPr>
        <w:t xml:space="preserve">: </w:t>
      </w:r>
      <w:r w:rsidRPr="00C33EA8">
        <w:rPr>
          <w:rFonts w:ascii="QCF_BSML" w:hAnsi="QCF_BSML" w:cs="QCF_BSML"/>
          <w:color w:val="000000"/>
          <w:sz w:val="30"/>
          <w:szCs w:val="30"/>
          <w:rtl/>
        </w:rPr>
        <w:t xml:space="preserve">ﮋ </w:t>
      </w:r>
      <w:r w:rsidRPr="00C33EA8">
        <w:rPr>
          <w:rFonts w:ascii="QCF_P117" w:hAnsi="QCF_P117" w:cs="QCF_P117"/>
          <w:color w:val="000000"/>
          <w:sz w:val="30"/>
          <w:szCs w:val="30"/>
          <w:rtl/>
        </w:rPr>
        <w:t xml:space="preserve">ﯥ ﯦ ﯧ ﯨ ﯩ ﯪ ﯫ  ﯬ ﯭ ﯮ ﯯ   ﯰ ﯱ </w:t>
      </w:r>
      <w:r w:rsidRPr="00C33EA8">
        <w:rPr>
          <w:rFonts w:ascii="QCF_BSML" w:hAnsi="QCF_BSML" w:cs="QCF_BSML"/>
          <w:color w:val="000000"/>
          <w:sz w:val="30"/>
          <w:szCs w:val="30"/>
          <w:rtl/>
        </w:rPr>
        <w:t>ﮊ</w:t>
      </w:r>
      <w:r w:rsidRPr="00C33EA8">
        <w:rPr>
          <w:rFonts w:cs="Lotus Linotype"/>
          <w:sz w:val="32"/>
          <w:szCs w:val="26"/>
          <w:rtl/>
        </w:rPr>
        <w:t>[المائدة: 55]</w:t>
      </w:r>
      <w:r>
        <w:rPr>
          <w:rFonts w:cs="Lotus Linotype"/>
          <w:sz w:val="32"/>
          <w:szCs w:val="26"/>
          <w:rtl/>
        </w:rPr>
        <w:t xml:space="preserve"> </w:t>
      </w:r>
      <w:r w:rsidRPr="00BA409D">
        <w:rPr>
          <w:rFonts w:cs="Lotus Linotype"/>
          <w:szCs w:val="28"/>
          <w:rtl/>
        </w:rPr>
        <w:t xml:space="preserve">وقال: </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494" w:hAnsi="QCF_P494" w:cs="QCF_P494"/>
          <w:color w:val="000000"/>
          <w:sz w:val="29"/>
          <w:szCs w:val="29"/>
          <w:rtl/>
        </w:rPr>
        <w:t>ﮜ</w:t>
      </w:r>
      <w:r>
        <w:rPr>
          <w:rFonts w:ascii="QCF_P494" w:hAnsi="QCF_P494" w:cs="QCF_P494"/>
          <w:color w:val="000000"/>
          <w:sz w:val="2"/>
          <w:szCs w:val="2"/>
          <w:rtl/>
        </w:rPr>
        <w:t xml:space="preserve"> </w:t>
      </w:r>
      <w:r>
        <w:rPr>
          <w:rFonts w:ascii="QCF_P494" w:hAnsi="QCF_P494" w:cs="QCF_P494"/>
          <w:color w:val="000000"/>
          <w:sz w:val="29"/>
          <w:szCs w:val="29"/>
          <w:rtl/>
        </w:rPr>
        <w:t>ﮝ</w:t>
      </w:r>
      <w:r>
        <w:rPr>
          <w:rFonts w:ascii="QCF_P494" w:hAnsi="QCF_P494" w:cs="QCF_P494"/>
          <w:color w:val="000000"/>
          <w:sz w:val="2"/>
          <w:szCs w:val="2"/>
          <w:rtl/>
        </w:rPr>
        <w:t xml:space="preserve">  </w:t>
      </w:r>
      <w:r>
        <w:rPr>
          <w:rFonts w:ascii="QCF_P494" w:hAnsi="QCF_P494" w:cs="QCF_P494"/>
          <w:color w:val="000000"/>
          <w:sz w:val="29"/>
          <w:szCs w:val="29"/>
          <w:rtl/>
        </w:rPr>
        <w:t>ﮞ</w:t>
      </w:r>
      <w:r>
        <w:rPr>
          <w:rFonts w:ascii="QCF_P494" w:hAnsi="QCF_P494" w:cs="QCF_P494"/>
          <w:color w:val="000000"/>
          <w:sz w:val="2"/>
          <w:szCs w:val="2"/>
          <w:rtl/>
        </w:rPr>
        <w:t xml:space="preserve"> </w:t>
      </w:r>
      <w:r>
        <w:rPr>
          <w:rFonts w:ascii="QCF_P494" w:hAnsi="QCF_P494" w:cs="QCF_P494"/>
          <w:color w:val="000000"/>
          <w:sz w:val="29"/>
          <w:szCs w:val="29"/>
          <w:rtl/>
        </w:rPr>
        <w:t>ﮟ</w:t>
      </w:r>
      <w:r>
        <w:rPr>
          <w:rFonts w:ascii="QCF_P494" w:hAnsi="QCF_P494" w:cs="QCF_P494"/>
          <w:color w:val="000000"/>
          <w:sz w:val="2"/>
          <w:szCs w:val="2"/>
          <w:rtl/>
        </w:rPr>
        <w:t xml:space="preserve">   </w:t>
      </w:r>
      <w:r>
        <w:rPr>
          <w:rFonts w:ascii="QCF_P494" w:hAnsi="QCF_P494" w:cs="QCF_P494"/>
          <w:color w:val="000000"/>
          <w:sz w:val="29"/>
          <w:szCs w:val="29"/>
          <w:rtl/>
        </w:rPr>
        <w:t>ﮠ</w:t>
      </w:r>
      <w:r>
        <w:rPr>
          <w:rFonts w:ascii="QCF_P494" w:hAnsi="QCF_P494" w:cs="QCF_P494"/>
          <w:color w:val="000000"/>
          <w:sz w:val="2"/>
          <w:szCs w:val="2"/>
          <w:rtl/>
        </w:rPr>
        <w:t xml:space="preserve"> </w:t>
      </w:r>
      <w:r>
        <w:rPr>
          <w:rFonts w:ascii="QCF_P494" w:hAnsi="QCF_P494" w:cs="QCF_P494"/>
          <w:color w:val="000000"/>
          <w:sz w:val="29"/>
          <w:szCs w:val="29"/>
          <w:rtl/>
        </w:rPr>
        <w:t>ﮡ</w:t>
      </w:r>
      <w:r>
        <w:rPr>
          <w:rFonts w:ascii="QCF_P494" w:hAnsi="QCF_P494" w:cs="QCF_P494"/>
          <w:color w:val="000000"/>
          <w:sz w:val="2"/>
          <w:szCs w:val="2"/>
          <w:rtl/>
        </w:rPr>
        <w:t xml:space="preserve"> </w:t>
      </w:r>
      <w:r>
        <w:rPr>
          <w:rFonts w:ascii="QCF_P494" w:hAnsi="QCF_P494" w:cs="QCF_P494"/>
          <w:color w:val="000000"/>
          <w:sz w:val="29"/>
          <w:szCs w:val="29"/>
          <w:rtl/>
        </w:rPr>
        <w:t>ﮢ</w:t>
      </w:r>
      <w:r>
        <w:rPr>
          <w:rFonts w:ascii="QCF_P494" w:hAnsi="QCF_P494" w:cs="QCF_P494"/>
          <w:color w:val="000000"/>
          <w:sz w:val="2"/>
          <w:szCs w:val="2"/>
          <w:rtl/>
        </w:rPr>
        <w:t xml:space="preserve"> </w:t>
      </w:r>
      <w:r>
        <w:rPr>
          <w:rFonts w:ascii="QCF_BSML" w:hAnsi="QCF_BSML" w:cs="QCF_BSML"/>
          <w:color w:val="000000"/>
          <w:sz w:val="29"/>
          <w:szCs w:val="29"/>
          <w:rtl/>
        </w:rPr>
        <w:t>ﮊ</w:t>
      </w:r>
      <w:r w:rsidRPr="002F4C43">
        <w:rPr>
          <w:rFonts w:cs="Lotus Linotype"/>
          <w:sz w:val="26"/>
          <w:szCs w:val="26"/>
          <w:rtl/>
        </w:rPr>
        <w:t xml:space="preserve">[الزخرف: 67] </w:t>
      </w:r>
    </w:p>
    <w:p w:rsidR="00A41217" w:rsidRPr="00BA409D" w:rsidRDefault="00A41217" w:rsidP="00513F71">
      <w:pPr>
        <w:pStyle w:val="NoSpacing"/>
        <w:widowControl w:val="0"/>
        <w:spacing w:line="216" w:lineRule="auto"/>
        <w:ind w:firstLine="425"/>
        <w:jc w:val="lowKashida"/>
        <w:rPr>
          <w:rFonts w:cs="Lotus Linotype"/>
          <w:szCs w:val="28"/>
          <w:rtl/>
        </w:rPr>
      </w:pPr>
      <w:r w:rsidRPr="00BA409D">
        <w:rPr>
          <w:rFonts w:cs="Lotus Linotype"/>
          <w:szCs w:val="28"/>
          <w:rtl/>
        </w:rPr>
        <w:t>وعن</w:t>
      </w:r>
      <w:r w:rsidRPr="000C7E4D">
        <w:rPr>
          <w:rFonts w:ascii="Times New Roman" w:hAnsi="Times New Roman" w:cs="Times New Roman"/>
          <w:szCs w:val="30"/>
          <w:rtl/>
        </w:rPr>
        <w:t> </w:t>
      </w:r>
      <w:r w:rsidRPr="00BA409D">
        <w:rPr>
          <w:rFonts w:cs="Lotus Linotype"/>
          <w:szCs w:val="28"/>
          <w:rtl/>
        </w:rPr>
        <w:t>أبي سعيد</w:t>
      </w:r>
      <w:r w:rsidRPr="000C7E4D">
        <w:rPr>
          <w:rFonts w:ascii="Times New Roman" w:hAnsi="Times New Roman" w:cs="Times New Roman"/>
          <w:szCs w:val="30"/>
          <w:rtl/>
        </w:rPr>
        <w:t> </w:t>
      </w:r>
      <w:r w:rsidRPr="00BA409D">
        <w:rPr>
          <w:rFonts w:cs="Lotus Linotype"/>
          <w:szCs w:val="28"/>
          <w:rtl/>
        </w:rPr>
        <w:t>عن النبيﷺ:</w:t>
      </w:r>
      <w:r w:rsidRPr="000C7E4D">
        <w:rPr>
          <w:rFonts w:ascii="Times New Roman" w:hAnsi="Times New Roman" w:cs="Times New Roman"/>
          <w:szCs w:val="30"/>
          <w:rtl/>
        </w:rPr>
        <w:t> </w:t>
      </w:r>
      <w:r w:rsidRPr="00D330BE">
        <w:rPr>
          <w:rFonts w:cs="Lotus Linotype"/>
          <w:color w:val="000000"/>
          <w:spacing w:val="-4"/>
          <w:sz w:val="40"/>
          <w:szCs w:val="32"/>
          <w:rtl/>
        </w:rPr>
        <w:t>«</w:t>
      </w:r>
      <w:r w:rsidRPr="00BA409D">
        <w:rPr>
          <w:rFonts w:cs="Lotus Linotype"/>
          <w:b/>
          <w:bCs/>
          <w:szCs w:val="28"/>
          <w:rtl/>
        </w:rPr>
        <w:t>لَا تُصَاحِبْ إلَّا مُؤْمِنًا وَلَا يَأْكُلْ طَعَامَك إلَّا تَقِيٌّ</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position w:val="4"/>
          <w:szCs w:val="34"/>
          <w:rtl/>
        </w:rPr>
        <w:footnoteReference w:id="11"/>
      </w:r>
      <w:r w:rsidRPr="00394A4E">
        <w:rPr>
          <w:position w:val="4"/>
          <w:szCs w:val="34"/>
          <w:vertAlign w:val="superscript"/>
          <w:rtl/>
        </w:rPr>
        <w:t>)</w:t>
      </w:r>
      <w:r w:rsidRPr="00BA409D">
        <w:rPr>
          <w:rFonts w:cs="Lotus Linotype"/>
          <w:szCs w:val="28"/>
          <w:rtl/>
        </w:rPr>
        <w:t xml:space="preserve"> وعَنْ</w:t>
      </w:r>
      <w:r w:rsidRPr="000C7E4D">
        <w:rPr>
          <w:rFonts w:ascii="Times New Roman" w:hAnsi="Times New Roman" w:cs="Times New Roman"/>
          <w:szCs w:val="30"/>
          <w:rtl/>
        </w:rPr>
        <w:t> </w:t>
      </w:r>
      <w:r w:rsidRPr="00BA409D">
        <w:rPr>
          <w:rFonts w:cs="Lotus Linotype"/>
          <w:szCs w:val="28"/>
          <w:rtl/>
        </w:rPr>
        <w:t>أَبِى هُرَيْرَةَ</w:t>
      </w:r>
      <w:r w:rsidRPr="000C7E4D">
        <w:rPr>
          <w:rFonts w:ascii="Times New Roman" w:hAnsi="Times New Roman" w:cs="Times New Roman"/>
          <w:szCs w:val="30"/>
          <w:rtl/>
        </w:rPr>
        <w:t> </w:t>
      </w:r>
      <w:r w:rsidRPr="00BA409D">
        <w:rPr>
          <w:rFonts w:cs="Lotus Linotype"/>
          <w:szCs w:val="28"/>
          <w:rtl/>
        </w:rPr>
        <w:t>أَنَّ النَّبِيﷺ قَالَ:</w:t>
      </w:r>
      <w:r w:rsidRPr="000C7E4D">
        <w:rPr>
          <w:rFonts w:ascii="Times New Roman" w:hAnsi="Times New Roman" w:cs="Times New Roman"/>
          <w:szCs w:val="30"/>
          <w:rtl/>
        </w:rPr>
        <w:t> </w:t>
      </w:r>
      <w:r w:rsidRPr="00D330BE">
        <w:rPr>
          <w:rFonts w:cs="Lotus Linotype"/>
          <w:color w:val="000000"/>
          <w:spacing w:val="-4"/>
          <w:sz w:val="40"/>
          <w:szCs w:val="32"/>
          <w:rtl/>
        </w:rPr>
        <w:t>«</w:t>
      </w:r>
      <w:r w:rsidRPr="00BA409D">
        <w:rPr>
          <w:rFonts w:cs="Lotus Linotype"/>
          <w:b/>
          <w:bCs/>
          <w:szCs w:val="28"/>
          <w:rtl/>
        </w:rPr>
        <w:t>الرَّجُلُ عَلَى دِينِ خَلِيلِهِ فَلْيَنْظُرْ أَحَدُكُمْ مَنْ يُخَالِلُ</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position w:val="4"/>
          <w:szCs w:val="34"/>
          <w:rtl/>
        </w:rPr>
        <w:footnoteReference w:id="12"/>
      </w:r>
      <w:r w:rsidRPr="00394A4E">
        <w:rPr>
          <w:position w:val="4"/>
          <w:szCs w:val="34"/>
          <w:vertAlign w:val="superscript"/>
          <w:rtl/>
        </w:rPr>
        <w:t>)</w:t>
      </w:r>
      <w:r w:rsidRPr="000C7E4D">
        <w:rPr>
          <w:rFonts w:ascii="Times New Roman" w:hAnsi="Times New Roman" w:cs="Times New Roman"/>
          <w:szCs w:val="30"/>
          <w:rtl/>
        </w:rPr>
        <w:t> </w:t>
      </w:r>
      <w:r w:rsidRPr="00BA409D">
        <w:rPr>
          <w:rFonts w:cs="Lotus Linotype"/>
          <w:szCs w:val="28"/>
          <w:rtl/>
        </w:rPr>
        <w:t>ومن أطايب الشعر:</w:t>
      </w:r>
    </w:p>
    <w:tbl>
      <w:tblPr>
        <w:bidiVisual/>
        <w:tblW w:w="0" w:type="auto"/>
        <w:jc w:val="center"/>
        <w:tblLook w:val="01E0" w:firstRow="1" w:lastRow="1" w:firstColumn="1" w:lastColumn="1" w:noHBand="0" w:noVBand="0"/>
      </w:tblPr>
      <w:tblGrid>
        <w:gridCol w:w="3600"/>
        <w:gridCol w:w="1080"/>
        <w:gridCol w:w="3780"/>
      </w:tblGrid>
      <w:tr w:rsidR="00A41217">
        <w:trPr>
          <w:trHeight w:hRule="exact" w:val="510"/>
          <w:jc w:val="center"/>
        </w:trPr>
        <w:tc>
          <w:tcPr>
            <w:tcW w:w="3600" w:type="dxa"/>
          </w:tcPr>
          <w:p w:rsidR="00A41217" w:rsidRPr="00720D0E" w:rsidRDefault="00A41217" w:rsidP="00720D0E">
            <w:pPr>
              <w:bidi/>
              <w:spacing w:after="0" w:line="216" w:lineRule="auto"/>
              <w:rPr>
                <w:rFonts w:cs="Lotus Linotype"/>
                <w:sz w:val="40"/>
                <w:szCs w:val="34"/>
              </w:rPr>
            </w:pPr>
            <w:r w:rsidRPr="00720D0E">
              <w:rPr>
                <w:rFonts w:cs="Lotus Linotype" w:hint="cs"/>
                <w:sz w:val="40"/>
                <w:szCs w:val="34"/>
                <w:rtl/>
              </w:rPr>
              <w:t>عن</w:t>
            </w:r>
            <w:r w:rsidRPr="00720D0E">
              <w:rPr>
                <w:rFonts w:cs="Lotus Linotype"/>
                <w:sz w:val="40"/>
                <w:szCs w:val="34"/>
                <w:rtl/>
              </w:rPr>
              <w:t xml:space="preserve"> </w:t>
            </w:r>
            <w:r w:rsidRPr="00720D0E">
              <w:rPr>
                <w:rFonts w:cs="Lotus Linotype" w:hint="cs"/>
                <w:sz w:val="40"/>
                <w:szCs w:val="34"/>
                <w:rtl/>
              </w:rPr>
              <w:t>المرء</w:t>
            </w:r>
            <w:r w:rsidRPr="00720D0E">
              <w:rPr>
                <w:rFonts w:cs="Lotus Linotype"/>
                <w:sz w:val="40"/>
                <w:szCs w:val="34"/>
                <w:rtl/>
              </w:rPr>
              <w:t xml:space="preserve"> </w:t>
            </w:r>
            <w:r w:rsidRPr="00720D0E">
              <w:rPr>
                <w:rFonts w:cs="Lotus Linotype" w:hint="cs"/>
                <w:sz w:val="40"/>
                <w:szCs w:val="34"/>
                <w:rtl/>
              </w:rPr>
              <w:t>لا</w:t>
            </w:r>
            <w:r w:rsidRPr="00720D0E">
              <w:rPr>
                <w:rFonts w:cs="Lotus Linotype"/>
                <w:sz w:val="40"/>
                <w:szCs w:val="34"/>
                <w:rtl/>
              </w:rPr>
              <w:t xml:space="preserve"> </w:t>
            </w:r>
            <w:r w:rsidRPr="00720D0E">
              <w:rPr>
                <w:rFonts w:cs="Lotus Linotype" w:hint="cs"/>
                <w:sz w:val="40"/>
                <w:szCs w:val="34"/>
                <w:rtl/>
              </w:rPr>
              <w:t>تسأل</w:t>
            </w:r>
            <w:r w:rsidRPr="00720D0E">
              <w:rPr>
                <w:rFonts w:cs="Lotus Linotype"/>
                <w:sz w:val="40"/>
                <w:szCs w:val="34"/>
                <w:rtl/>
              </w:rPr>
              <w:t xml:space="preserve"> </w:t>
            </w:r>
            <w:r w:rsidRPr="00720D0E">
              <w:rPr>
                <w:rFonts w:cs="Lotus Linotype" w:hint="cs"/>
                <w:sz w:val="40"/>
                <w:szCs w:val="34"/>
                <w:rtl/>
              </w:rPr>
              <w:t>وسل</w:t>
            </w:r>
            <w:r w:rsidRPr="00720D0E">
              <w:rPr>
                <w:rFonts w:cs="Lotus Linotype"/>
                <w:sz w:val="40"/>
                <w:szCs w:val="34"/>
                <w:rtl/>
              </w:rPr>
              <w:t xml:space="preserve"> </w:t>
            </w:r>
            <w:r w:rsidRPr="00720D0E">
              <w:rPr>
                <w:rFonts w:cs="Lotus Linotype" w:hint="cs"/>
                <w:sz w:val="40"/>
                <w:szCs w:val="34"/>
                <w:rtl/>
              </w:rPr>
              <w:t>عن</w:t>
            </w:r>
            <w:r w:rsidRPr="00720D0E">
              <w:rPr>
                <w:rFonts w:cs="Lotus Linotype"/>
                <w:sz w:val="40"/>
                <w:szCs w:val="34"/>
                <w:rtl/>
              </w:rPr>
              <w:t xml:space="preserve"> </w:t>
            </w:r>
            <w:r w:rsidRPr="00720D0E">
              <w:rPr>
                <w:rFonts w:cs="Lotus Linotype" w:hint="cs"/>
                <w:sz w:val="40"/>
                <w:szCs w:val="34"/>
                <w:rtl/>
              </w:rPr>
              <w:t>قرينه</w:t>
            </w:r>
            <w:r w:rsidRPr="00720D0E">
              <w:rPr>
                <w:rFonts w:cs="Lotus Linotype"/>
                <w:sz w:val="40"/>
                <w:szCs w:val="34"/>
                <w:rtl/>
              </w:rPr>
              <w:br/>
            </w:r>
          </w:p>
        </w:tc>
        <w:tc>
          <w:tcPr>
            <w:tcW w:w="1080" w:type="dxa"/>
            <w:vAlign w:val="center"/>
          </w:tcPr>
          <w:p w:rsidR="00A41217" w:rsidRPr="00720D0E" w:rsidRDefault="00A41217" w:rsidP="00720D0E">
            <w:pPr>
              <w:bidi/>
              <w:spacing w:after="0" w:line="216" w:lineRule="auto"/>
              <w:jc w:val="center"/>
              <w:rPr>
                <w:rFonts w:cs="الحوكمي عنوان2"/>
                <w:sz w:val="28"/>
                <w:szCs w:val="28"/>
              </w:rPr>
            </w:pPr>
            <w:r w:rsidRPr="00720D0E">
              <w:rPr>
                <w:rFonts w:cs="الحوكمي عنوان2"/>
                <w:sz w:val="28"/>
                <w:szCs w:val="28"/>
              </w:rPr>
              <w:sym w:font="Wingdings 2" w:char="F0EF"/>
            </w:r>
            <w:r w:rsidRPr="00720D0E">
              <w:rPr>
                <w:rFonts w:cs="الحوكمي عنوان2"/>
                <w:sz w:val="28"/>
                <w:szCs w:val="28"/>
              </w:rPr>
              <w:sym w:font="Wingdings 2" w:char="F0EF"/>
            </w:r>
            <w:r w:rsidRPr="00720D0E">
              <w:rPr>
                <w:rFonts w:cs="الحوكمي عنوان2"/>
                <w:sz w:val="28"/>
                <w:szCs w:val="28"/>
              </w:rPr>
              <w:sym w:font="Wingdings 2" w:char="F0EF"/>
            </w:r>
          </w:p>
        </w:tc>
        <w:tc>
          <w:tcPr>
            <w:tcW w:w="3780" w:type="dxa"/>
          </w:tcPr>
          <w:p w:rsidR="00A41217" w:rsidRPr="00BA409D" w:rsidRDefault="00A41217" w:rsidP="00720D0E">
            <w:pPr>
              <w:bidi/>
              <w:spacing w:after="0" w:line="216" w:lineRule="auto"/>
              <w:rPr>
                <w:rFonts w:cs="Lotus Linotype"/>
                <w:szCs w:val="28"/>
              </w:rPr>
            </w:pPr>
            <w:r w:rsidRPr="00720D0E">
              <w:rPr>
                <w:rFonts w:cs="Lotus Linotype" w:hint="cs"/>
                <w:sz w:val="40"/>
                <w:szCs w:val="34"/>
                <w:rtl/>
              </w:rPr>
              <w:t>فكل</w:t>
            </w:r>
            <w:r w:rsidRPr="00720D0E">
              <w:rPr>
                <w:rFonts w:cs="Lotus Linotype"/>
                <w:sz w:val="40"/>
                <w:szCs w:val="34"/>
                <w:rtl/>
              </w:rPr>
              <w:t xml:space="preserve"> </w:t>
            </w:r>
            <w:r w:rsidRPr="00720D0E">
              <w:rPr>
                <w:rFonts w:cs="Lotus Linotype" w:hint="cs"/>
                <w:sz w:val="40"/>
                <w:szCs w:val="34"/>
                <w:rtl/>
              </w:rPr>
              <w:t>قرين</w:t>
            </w:r>
            <w:r w:rsidRPr="00720D0E">
              <w:rPr>
                <w:rFonts w:cs="Lotus Linotype"/>
                <w:sz w:val="40"/>
                <w:szCs w:val="34"/>
                <w:rtl/>
              </w:rPr>
              <w:t xml:space="preserve"> </w:t>
            </w:r>
            <w:r w:rsidRPr="00720D0E">
              <w:rPr>
                <w:rFonts w:cs="Lotus Linotype" w:hint="cs"/>
                <w:sz w:val="40"/>
                <w:szCs w:val="34"/>
                <w:rtl/>
              </w:rPr>
              <w:t>بالمقارن</w:t>
            </w:r>
            <w:r w:rsidRPr="00720D0E">
              <w:rPr>
                <w:rFonts w:cs="Lotus Linotype"/>
                <w:sz w:val="40"/>
                <w:szCs w:val="34"/>
                <w:rtl/>
              </w:rPr>
              <w:t xml:space="preserve"> </w:t>
            </w:r>
            <w:r w:rsidRPr="00720D0E">
              <w:rPr>
                <w:rFonts w:cs="Lotus Linotype" w:hint="cs"/>
                <w:sz w:val="40"/>
                <w:szCs w:val="34"/>
                <w:rtl/>
              </w:rPr>
              <w:t>مقتدي</w:t>
            </w:r>
            <w:r w:rsidRPr="00BA409D">
              <w:rPr>
                <w:rFonts w:cs="Lotus Linotype"/>
                <w:sz w:val="20"/>
                <w:szCs w:val="28"/>
                <w:rtl/>
              </w:rPr>
              <w:br/>
            </w:r>
          </w:p>
        </w:tc>
      </w:tr>
    </w:tbl>
    <w:p w:rsidR="00A41217" w:rsidRPr="00BA409D" w:rsidRDefault="00A41217" w:rsidP="00513F71">
      <w:pPr>
        <w:pStyle w:val="NoSpacing"/>
        <w:widowControl w:val="0"/>
        <w:spacing w:line="216" w:lineRule="auto"/>
        <w:ind w:firstLine="425"/>
        <w:jc w:val="lowKashida"/>
        <w:rPr>
          <w:rFonts w:cs="Lotus Linotype"/>
          <w:szCs w:val="28"/>
          <w:rtl/>
        </w:rPr>
      </w:pPr>
      <w:r w:rsidRPr="00BA409D">
        <w:rPr>
          <w:rFonts w:cs="Lotus Linotype"/>
          <w:szCs w:val="28"/>
          <w:rtl/>
        </w:rPr>
        <w:t xml:space="preserve">من أجل ذلك، فإن هناك جملة من ضوابط هذه المخالطة مبثوثة في كلام أهل العلم، نذكر هنا بعضها. </w:t>
      </w:r>
    </w:p>
    <w:p w:rsidR="00A41217" w:rsidRPr="00513F71" w:rsidRDefault="00A41217" w:rsidP="00513F71">
      <w:pPr>
        <w:bidi/>
        <w:jc w:val="center"/>
        <w:rPr>
          <w:rFonts w:cs="Lotus Linotype"/>
          <w:b/>
          <w:bCs/>
          <w:sz w:val="40"/>
          <w:szCs w:val="34"/>
          <w:rtl/>
        </w:rPr>
      </w:pPr>
      <w:r w:rsidRPr="00513F71">
        <w:rPr>
          <w:rFonts w:cs="Lotus Linotype" w:hint="cs"/>
          <w:b/>
          <w:bCs/>
          <w:sz w:val="40"/>
          <w:szCs w:val="34"/>
          <w:rtl/>
        </w:rPr>
        <w:t>إنما</w:t>
      </w:r>
      <w:r w:rsidRPr="00513F71">
        <w:rPr>
          <w:rFonts w:cs="Lotus Linotype"/>
          <w:b/>
          <w:bCs/>
          <w:sz w:val="40"/>
          <w:szCs w:val="34"/>
          <w:rtl/>
        </w:rPr>
        <w:t xml:space="preserve"> </w:t>
      </w:r>
      <w:r w:rsidRPr="00513F71">
        <w:rPr>
          <w:rFonts w:cs="Lotus Linotype" w:hint="cs"/>
          <w:b/>
          <w:bCs/>
          <w:sz w:val="40"/>
          <w:szCs w:val="34"/>
          <w:rtl/>
        </w:rPr>
        <w:t>الأعمال</w:t>
      </w:r>
      <w:r w:rsidRPr="00513F71">
        <w:rPr>
          <w:rFonts w:cs="Lotus Linotype"/>
          <w:b/>
          <w:bCs/>
          <w:sz w:val="40"/>
          <w:szCs w:val="34"/>
          <w:rtl/>
        </w:rPr>
        <w:t xml:space="preserve"> </w:t>
      </w:r>
      <w:r w:rsidRPr="00513F71">
        <w:rPr>
          <w:rFonts w:cs="Lotus Linotype" w:hint="cs"/>
          <w:b/>
          <w:bCs/>
          <w:sz w:val="40"/>
          <w:szCs w:val="34"/>
          <w:rtl/>
        </w:rPr>
        <w:t>بالنيات</w:t>
      </w:r>
      <w:r w:rsidRPr="00513F71">
        <w:rPr>
          <w:rFonts w:cs="Lotus Linotype"/>
          <w:b/>
          <w:bCs/>
          <w:sz w:val="40"/>
          <w:szCs w:val="34"/>
          <w:rtl/>
        </w:rPr>
        <w:t xml:space="preserve"> </w:t>
      </w:r>
      <w:r w:rsidRPr="00513F71">
        <w:rPr>
          <w:rFonts w:cs="Lotus Linotype" w:hint="cs"/>
          <w:b/>
          <w:bCs/>
          <w:sz w:val="40"/>
          <w:szCs w:val="34"/>
          <w:rtl/>
        </w:rPr>
        <w:t>والأمور</w:t>
      </w:r>
      <w:r w:rsidRPr="00513F71">
        <w:rPr>
          <w:rFonts w:cs="Lotus Linotype"/>
          <w:b/>
          <w:bCs/>
          <w:sz w:val="40"/>
          <w:szCs w:val="34"/>
          <w:rtl/>
        </w:rPr>
        <w:t xml:space="preserve"> </w:t>
      </w:r>
      <w:r w:rsidRPr="00513F71">
        <w:rPr>
          <w:rFonts w:cs="Lotus Linotype" w:hint="cs"/>
          <w:b/>
          <w:bCs/>
          <w:sz w:val="40"/>
          <w:szCs w:val="34"/>
          <w:rtl/>
        </w:rPr>
        <w:t>بمقاصدها</w:t>
      </w:r>
    </w:p>
    <w:p w:rsidR="00A41217" w:rsidRPr="00BA409D" w:rsidRDefault="00A41217" w:rsidP="00513F71">
      <w:pPr>
        <w:pStyle w:val="NoSpacing"/>
        <w:widowControl w:val="0"/>
        <w:spacing w:before="180" w:line="216" w:lineRule="auto"/>
        <w:ind w:firstLine="425"/>
        <w:jc w:val="lowKashida"/>
        <w:rPr>
          <w:rFonts w:cs="Lotus Linotype"/>
          <w:szCs w:val="28"/>
        </w:rPr>
      </w:pPr>
      <w:r w:rsidRPr="00BA409D">
        <w:rPr>
          <w:rFonts w:cs="Lotus Linotype"/>
          <w:szCs w:val="28"/>
          <w:rtl/>
        </w:rPr>
        <w:t xml:space="preserve">قال ابن تيمية </w:t>
      </w:r>
      <w:r>
        <w:rPr>
          <w:rFonts w:cs="CTraditional Arabic"/>
          <w:rtl/>
        </w:rPr>
        <w:t>:</w:t>
      </w:r>
      <w:r w:rsidRPr="00BA409D">
        <w:rPr>
          <w:rFonts w:cs="Lotus Linotype"/>
          <w:szCs w:val="28"/>
          <w:rtl/>
        </w:rPr>
        <w:t xml:space="preserve"> عن الهجر الشرعي: </w:t>
      </w:r>
      <w:r w:rsidRPr="00D330BE">
        <w:rPr>
          <w:rFonts w:cs="Lotus Linotype"/>
          <w:color w:val="000000"/>
          <w:spacing w:val="-4"/>
          <w:sz w:val="40"/>
          <w:szCs w:val="32"/>
          <w:rtl/>
        </w:rPr>
        <w:t>«</w:t>
      </w:r>
      <w:r w:rsidRPr="00BA409D">
        <w:rPr>
          <w:rFonts w:cs="Lotus Linotype"/>
          <w:szCs w:val="28"/>
          <w:rtl/>
        </w:rPr>
        <w:t>فالمقصود بهذا أن يهجر المسلم السيئات ويهجر قرناء السوء الذين تضر صحبتهم إلا لحاجةٍ أو مصلحةٍ راجحة.</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13"/>
      </w:r>
      <w:r w:rsidRPr="00394A4E">
        <w:rPr>
          <w:position w:val="4"/>
          <w:szCs w:val="34"/>
          <w:vertAlign w:val="superscript"/>
          <w:rtl/>
        </w:rPr>
        <w:t>)</w:t>
      </w:r>
      <w:r w:rsidRPr="00BA409D">
        <w:rPr>
          <w:rFonts w:cs="Lotus Linotype"/>
          <w:szCs w:val="28"/>
          <w:rtl/>
        </w:rPr>
        <w:t xml:space="preserve"> لاحظ أن الكلام هنا عمن تضر صحبته وليس عن مطلق المخالفين في الدين، ورغم ذلك جازت - مع حسن النية - صحبتهم إن كان نفعها أربى من ضررها، سيما إن كان المرء قادرًا على دعوة المخالف بالقول أو العمل. إن استحضار النية الحسنة مهم لسلامة هذه المخالطة من آفاتها، فإن المخالط الذي يريد فعل البر كما أمره الله أو نفع العباد غير الذي يريد حظوظ الدنيا وما في أيدي الناس، فيسارع فيهم ويتزلف إليهم بالحق والباطل، فالأول مستحق للحفظ والتسديد والثاني مستحق لزيغ القلب وطمس البصيرة. </w:t>
      </w:r>
    </w:p>
    <w:p w:rsidR="00A41217" w:rsidRPr="002F4C43" w:rsidRDefault="00A41217" w:rsidP="002F4C43">
      <w:pPr>
        <w:pStyle w:val="Heading2"/>
        <w:keepNext w:val="0"/>
        <w:keepLines w:val="0"/>
        <w:widowControl w:val="0"/>
        <w:spacing w:before="240" w:line="216" w:lineRule="auto"/>
        <w:rPr>
          <w:rFonts w:cs="الحوكمي عنوان2"/>
          <w:b w:val="0"/>
          <w:bCs w:val="0"/>
          <w:sz w:val="28"/>
          <w:szCs w:val="28"/>
          <w:rtl/>
        </w:rPr>
      </w:pPr>
      <w:bookmarkStart w:id="12" w:name="_Toc444382228"/>
      <w:r w:rsidRPr="002F4C43">
        <w:rPr>
          <w:rFonts w:cs="الحوكمي عنوان2"/>
          <w:b w:val="0"/>
          <w:bCs w:val="0"/>
          <w:sz w:val="28"/>
          <w:szCs w:val="28"/>
          <w:rtl/>
        </w:rPr>
        <w:t>عدم الإكثار من مخالطة من ينسيك ذكر الله وحقوقه:</w:t>
      </w:r>
      <w:bookmarkEnd w:id="12"/>
    </w:p>
    <w:p w:rsidR="00A41217" w:rsidRPr="00BA409D" w:rsidRDefault="00A41217" w:rsidP="002F4C43">
      <w:pPr>
        <w:pStyle w:val="NoSpacing"/>
        <w:widowControl w:val="0"/>
        <w:spacing w:before="180" w:line="216" w:lineRule="auto"/>
        <w:ind w:firstLine="425"/>
        <w:jc w:val="lowKashida"/>
        <w:rPr>
          <w:rFonts w:cs="Lotus Linotype"/>
          <w:szCs w:val="28"/>
          <w:rtl/>
        </w:rPr>
      </w:pPr>
      <w:r w:rsidRPr="00BA409D">
        <w:rPr>
          <w:rFonts w:cs="Lotus Linotype"/>
          <w:szCs w:val="28"/>
          <w:rtl/>
        </w:rPr>
        <w:t>هناك من الآثار في هذا الشأن الكثير، ولكنها تفهم في سياق ما سبق من أصل جواز المخالطة، فيكون المقصود بها الإكثار من مخالطة أبناء الدنيا والعصاة واتخاذهم بطانة من دون المؤمنين. وهناك جملة من الآثار مطلقة في منع مجالسة أهل الزيغ والضلال. قال</w:t>
      </w:r>
      <w:r w:rsidRPr="000C7E4D">
        <w:rPr>
          <w:rFonts w:ascii="Times New Roman" w:hAnsi="Times New Roman" w:cs="Times New Roman"/>
          <w:szCs w:val="30"/>
          <w:rtl/>
        </w:rPr>
        <w:t> </w:t>
      </w:r>
      <w:r w:rsidRPr="00BA409D">
        <w:rPr>
          <w:rFonts w:cs="Lotus Linotype"/>
          <w:szCs w:val="28"/>
          <w:rtl/>
        </w:rPr>
        <w:t xml:space="preserve">ابن عباس </w:t>
      </w:r>
      <w:r w:rsidRPr="000C7E4D">
        <w:rPr>
          <w:rFonts w:ascii="Lotus Linotype" w:hAnsi="Lotus Linotype" w:cs="Lotus Linotype"/>
        </w:rPr>
        <w:sym w:font="AGA Arabesque" w:char="F074"/>
      </w:r>
      <w:r w:rsidRPr="00BA409D">
        <w:rPr>
          <w:rFonts w:cs="Lotus Linotype"/>
          <w:szCs w:val="28"/>
          <w:rtl/>
        </w:rPr>
        <w:t xml:space="preserve">: </w:t>
      </w:r>
      <w:r w:rsidRPr="00D330BE">
        <w:rPr>
          <w:rFonts w:cs="Lotus Linotype"/>
          <w:color w:val="000000"/>
          <w:spacing w:val="-4"/>
          <w:sz w:val="40"/>
          <w:szCs w:val="32"/>
          <w:rtl/>
        </w:rPr>
        <w:t>«</w:t>
      </w:r>
      <w:r w:rsidRPr="00BA409D">
        <w:rPr>
          <w:rFonts w:cs="Lotus Linotype"/>
          <w:szCs w:val="28"/>
          <w:rtl/>
        </w:rPr>
        <w:t>لا تجالس أهل الأهواء فإن مجالستهم ممرضة للقلب.</w:t>
      </w:r>
      <w:r w:rsidRPr="00B905DE">
        <w:rPr>
          <w:rFonts w:cs="Lotus Linotype"/>
          <w:color w:val="000000"/>
          <w:spacing w:val="-4"/>
          <w:sz w:val="40"/>
          <w:szCs w:val="32"/>
          <w:rtl/>
        </w:rPr>
        <w:t>»</w:t>
      </w:r>
      <w:r w:rsidRPr="00BA409D">
        <w:rPr>
          <w:rFonts w:cs="Lotus Linotype"/>
          <w:szCs w:val="28"/>
          <w:vertAlign w:val="superscript"/>
          <w:rtl/>
        </w:rPr>
        <w:t xml:space="preserve"> </w:t>
      </w:r>
      <w:r w:rsidRPr="00394A4E">
        <w:rPr>
          <w:position w:val="4"/>
          <w:szCs w:val="34"/>
          <w:vertAlign w:val="superscript"/>
          <w:rtl/>
        </w:rPr>
        <w:t>(</w:t>
      </w:r>
      <w:r w:rsidRPr="00394A4E">
        <w:rPr>
          <w:rStyle w:val="FootnoteReference"/>
          <w:rFonts w:cs="Traditional Arabic"/>
          <w:color w:val="222222"/>
          <w:position w:val="4"/>
          <w:szCs w:val="34"/>
          <w:rtl/>
        </w:rPr>
        <w:footnoteReference w:id="14"/>
      </w:r>
      <w:r w:rsidRPr="00394A4E">
        <w:rPr>
          <w:position w:val="4"/>
          <w:szCs w:val="34"/>
          <w:vertAlign w:val="superscript"/>
          <w:rtl/>
        </w:rPr>
        <w:t>)</w:t>
      </w:r>
      <w:r w:rsidRPr="00BA409D">
        <w:rPr>
          <w:rFonts w:cs="Lotus Linotype"/>
          <w:szCs w:val="28"/>
          <w:vertAlign w:val="superscript"/>
          <w:rtl/>
        </w:rPr>
        <w:t xml:space="preserve"> </w:t>
      </w:r>
      <w:r w:rsidRPr="00BA409D">
        <w:rPr>
          <w:rFonts w:cs="Lotus Linotype"/>
          <w:szCs w:val="28"/>
          <w:rtl/>
        </w:rPr>
        <w:t xml:space="preserve">وقال أبو قلابة </w:t>
      </w:r>
      <w:r>
        <w:rPr>
          <w:rFonts w:cs="CTraditional Arabic"/>
          <w:rtl/>
        </w:rPr>
        <w:t>:</w:t>
      </w:r>
      <w:r w:rsidRPr="00BA409D">
        <w:rPr>
          <w:rFonts w:cs="Lotus Linotype"/>
          <w:szCs w:val="28"/>
          <w:rtl/>
        </w:rPr>
        <w:t xml:space="preserve">: </w:t>
      </w:r>
      <w:r w:rsidRPr="00D330BE">
        <w:rPr>
          <w:rFonts w:cs="Lotus Linotype"/>
          <w:color w:val="000000"/>
          <w:spacing w:val="-4"/>
          <w:sz w:val="40"/>
          <w:szCs w:val="32"/>
          <w:rtl/>
        </w:rPr>
        <w:t>«</w:t>
      </w:r>
      <w:r w:rsidRPr="00BA409D">
        <w:rPr>
          <w:rFonts w:cs="Lotus Linotype"/>
          <w:szCs w:val="28"/>
          <w:rtl/>
        </w:rPr>
        <w:t xml:space="preserve">لا تجالسوا </w:t>
      </w:r>
      <w:r w:rsidRPr="00BA409D">
        <w:rPr>
          <w:rFonts w:cs="Lotus Linotype"/>
          <w:szCs w:val="28"/>
          <w:rtl/>
        </w:rPr>
        <w:lastRenderedPageBreak/>
        <w:t>أهل الأهواء ولا تجادلوهم فإني لا آمن أن يغمسوكم في الضلالة أو يلبِّسوا عليكم في الدّين بعض ما لُبّس عليهم.</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15"/>
      </w:r>
      <w:r w:rsidRPr="00394A4E">
        <w:rPr>
          <w:position w:val="4"/>
          <w:szCs w:val="34"/>
          <w:vertAlign w:val="superscript"/>
          <w:rtl/>
        </w:rPr>
        <w:t>)</w:t>
      </w:r>
      <w:r w:rsidRPr="00BA409D">
        <w:rPr>
          <w:rFonts w:cs="Lotus Linotype"/>
          <w:szCs w:val="28"/>
          <w:rtl/>
        </w:rPr>
        <w:t xml:space="preserve"> وقال الحسن البصري </w:t>
      </w:r>
      <w:r>
        <w:rPr>
          <w:rFonts w:cs="CTraditional Arabic"/>
          <w:rtl/>
        </w:rPr>
        <w:t>:</w:t>
      </w:r>
      <w:r w:rsidRPr="00BA409D">
        <w:rPr>
          <w:rFonts w:cs="Lotus Linotype"/>
          <w:szCs w:val="28"/>
          <w:rtl/>
        </w:rPr>
        <w:t xml:space="preserve">: </w:t>
      </w:r>
      <w:r w:rsidRPr="00D330BE">
        <w:rPr>
          <w:rFonts w:cs="Lotus Linotype"/>
          <w:color w:val="000000"/>
          <w:spacing w:val="-4"/>
          <w:sz w:val="40"/>
          <w:szCs w:val="32"/>
          <w:rtl/>
        </w:rPr>
        <w:t>«</w:t>
      </w:r>
      <w:r w:rsidRPr="00BA409D">
        <w:rPr>
          <w:rFonts w:cs="Lotus Linotype"/>
          <w:szCs w:val="28"/>
          <w:rtl/>
        </w:rPr>
        <w:t>لا تجالسوا أهل الأهواء ولا تجادلوهم ولا تسمعوا منهم.</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16"/>
      </w:r>
      <w:r w:rsidRPr="00394A4E">
        <w:rPr>
          <w:position w:val="4"/>
          <w:szCs w:val="34"/>
          <w:vertAlign w:val="superscript"/>
          <w:rtl/>
        </w:rPr>
        <w:t>)</w:t>
      </w:r>
      <w:r w:rsidRPr="00BA409D">
        <w:rPr>
          <w:rFonts w:cs="Lotus Linotype"/>
          <w:szCs w:val="28"/>
          <w:rtl/>
        </w:rPr>
        <w:t xml:space="preserve"> وقال الشاطبي </w:t>
      </w:r>
      <w:r>
        <w:rPr>
          <w:rFonts w:cs="CTraditional Arabic"/>
          <w:rtl/>
        </w:rPr>
        <w:t>:</w:t>
      </w:r>
      <w:r w:rsidRPr="00BA409D">
        <w:rPr>
          <w:rFonts w:cs="Lotus Linotype"/>
          <w:szCs w:val="28"/>
          <w:rtl/>
        </w:rPr>
        <w:t xml:space="preserve"> في معرض ذكره لأحكام أهل البدع: </w:t>
      </w:r>
      <w:r w:rsidRPr="00D330BE">
        <w:rPr>
          <w:rFonts w:cs="Lotus Linotype"/>
          <w:color w:val="000000"/>
          <w:spacing w:val="-4"/>
          <w:sz w:val="40"/>
          <w:szCs w:val="32"/>
          <w:rtl/>
        </w:rPr>
        <w:t>«</w:t>
      </w:r>
      <w:r w:rsidRPr="00BA409D">
        <w:rPr>
          <w:rFonts w:cs="Lotus Linotype"/>
          <w:szCs w:val="28"/>
          <w:rtl/>
        </w:rPr>
        <w:t xml:space="preserve">الهجران وترك الكلام والسلام، حسبما تقدم عن جملةٍ من السلف في هجرانهم لمن تلبَّس ببدعة، وما جاء عن عمر </w:t>
      </w:r>
      <w:r w:rsidRPr="000C7E4D">
        <w:rPr>
          <w:rFonts w:ascii="Lotus Linotype" w:hAnsi="Lotus Linotype" w:cs="Lotus Linotype"/>
        </w:rPr>
        <w:sym w:font="AGA Arabesque" w:char="F074"/>
      </w:r>
      <w:r w:rsidRPr="00BA409D">
        <w:rPr>
          <w:rFonts w:cs="Lotus Linotype"/>
          <w:szCs w:val="28"/>
          <w:rtl/>
        </w:rPr>
        <w:t xml:space="preserve"> من قصة صبيغ العراقي.</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17"/>
      </w:r>
      <w:r w:rsidRPr="00394A4E">
        <w:rPr>
          <w:position w:val="4"/>
          <w:szCs w:val="34"/>
          <w:vertAlign w:val="superscript"/>
          <w:rtl/>
        </w:rPr>
        <w:t>)</w:t>
      </w:r>
      <w:r w:rsidRPr="00BA409D">
        <w:rPr>
          <w:rFonts w:cs="Lotus Linotype"/>
          <w:szCs w:val="28"/>
          <w:rtl/>
        </w:rPr>
        <w:t xml:space="preserve"> وقد ينصرف جل هذه المقالات في أذهان البعض إلى المبتدعة من المسلمين، ولكن أليس شرًا من ذلك من يشكك في أصل الدين أو البعث والميعاد أو وجود الخالق سبحانه؟ وقد سبقت أحاديث رسول الله في انتقاء الأخلاء. لكن هذه الآثار تنصرف إلى من خشي على نفسه أن يفتنوه أو يصرفوه عن السنة أو أصل الدين، أو كان في هجرانهم زجر لهم ولمن قد يغتر بهم، أو كانت مجالستهم لغير غرض صالح. أما غير ذلك، فلا حرج في مجالستهم عندما تربو المصلحة على المفسدة. </w:t>
      </w:r>
    </w:p>
    <w:p w:rsidR="00A41217" w:rsidRPr="002F4C43" w:rsidRDefault="00A41217" w:rsidP="002F4C43">
      <w:pPr>
        <w:pStyle w:val="Heading2"/>
        <w:keepNext w:val="0"/>
        <w:keepLines w:val="0"/>
        <w:widowControl w:val="0"/>
        <w:spacing w:before="240" w:line="216" w:lineRule="auto"/>
        <w:rPr>
          <w:rFonts w:cs="الحوكمي عنوان2"/>
          <w:b w:val="0"/>
          <w:bCs w:val="0"/>
          <w:sz w:val="28"/>
          <w:szCs w:val="28"/>
          <w:rtl/>
        </w:rPr>
      </w:pPr>
      <w:bookmarkStart w:id="13" w:name="_Toc444382229"/>
      <w:r w:rsidRPr="002F4C43">
        <w:rPr>
          <w:rFonts w:cs="الحوكمي عنوان2"/>
          <w:b w:val="0"/>
          <w:bCs w:val="0"/>
          <w:sz w:val="28"/>
          <w:szCs w:val="28"/>
          <w:rtl/>
        </w:rPr>
        <w:t>التحلي بالآداب والأخلاق الإسلامية:</w:t>
      </w:r>
      <w:bookmarkEnd w:id="13"/>
    </w:p>
    <w:p w:rsidR="00A41217" w:rsidRPr="00BA409D" w:rsidRDefault="00A41217" w:rsidP="002F4C43">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قد تحمل المخالطة بعض الناس على التفريط في آداب الإسلام فيخلعون العذار ويتركون الوقار ويتهاونون في الحجاب وغض البصر ويقعون في الاختلاط الفاحش، ومن كان حاله كذلك ولم يكن قادرًا على حفظ نفسه من هذه الدنايا، فليعلم أن السلامة لا يعدلها شيء، وأن الله غير محتاج له لتبليغ دينه أو قضاء حوائج المسلمين. </w:t>
      </w:r>
    </w:p>
    <w:p w:rsidR="00A41217" w:rsidRPr="002F4C43" w:rsidRDefault="00A41217" w:rsidP="002F4C43">
      <w:pPr>
        <w:pStyle w:val="Heading2"/>
        <w:keepNext w:val="0"/>
        <w:keepLines w:val="0"/>
        <w:widowControl w:val="0"/>
        <w:spacing w:before="240" w:line="216" w:lineRule="auto"/>
        <w:rPr>
          <w:rFonts w:cs="الحوكمي عنوان2"/>
          <w:b w:val="0"/>
          <w:bCs w:val="0"/>
          <w:sz w:val="28"/>
          <w:szCs w:val="28"/>
        </w:rPr>
      </w:pPr>
      <w:bookmarkStart w:id="14" w:name="_Toc444382230"/>
      <w:r w:rsidRPr="002F4C43">
        <w:rPr>
          <w:rFonts w:cs="الحوكمي عنوان2"/>
          <w:b w:val="0"/>
          <w:bCs w:val="0"/>
          <w:sz w:val="28"/>
          <w:szCs w:val="28"/>
          <w:rtl/>
        </w:rPr>
        <w:t>ما بين وجوب الأمر ب</w:t>
      </w:r>
      <w:r>
        <w:rPr>
          <w:rFonts w:cs="الحوكمي عنوان2"/>
          <w:b w:val="0"/>
          <w:bCs w:val="0"/>
          <w:sz w:val="28"/>
          <w:szCs w:val="28"/>
          <w:rtl/>
        </w:rPr>
        <w:t>المعروف وإنكار المنكر وغض الطرف:</w:t>
      </w:r>
      <w:bookmarkEnd w:id="14"/>
    </w:p>
    <w:p w:rsidR="00A41217" w:rsidRPr="00BA409D" w:rsidRDefault="00A41217" w:rsidP="002F4C43">
      <w:pPr>
        <w:pStyle w:val="NoSpacing"/>
        <w:widowControl w:val="0"/>
        <w:spacing w:before="180" w:line="216" w:lineRule="auto"/>
        <w:ind w:firstLine="425"/>
        <w:jc w:val="lowKashida"/>
        <w:rPr>
          <w:rFonts w:cs="Lotus Linotype"/>
          <w:szCs w:val="28"/>
          <w:rtl/>
        </w:rPr>
      </w:pPr>
      <w:r w:rsidRPr="00BA409D">
        <w:rPr>
          <w:rFonts w:cs="Lotus Linotype"/>
          <w:szCs w:val="28"/>
          <w:rtl/>
        </w:rPr>
        <w:t xml:space="preserve">قال الإمام ابن قدامة </w:t>
      </w:r>
      <w:r>
        <w:rPr>
          <w:rFonts w:cs="CTraditional Arabic"/>
          <w:rtl/>
        </w:rPr>
        <w:t>:</w:t>
      </w:r>
      <w:r w:rsidRPr="00BA409D">
        <w:rPr>
          <w:rFonts w:cs="Lotus Linotype"/>
          <w:szCs w:val="28"/>
          <w:rtl/>
        </w:rPr>
        <w:t xml:space="preserve">: </w:t>
      </w:r>
      <w:r w:rsidRPr="00D330BE">
        <w:rPr>
          <w:rFonts w:cs="Lotus Linotype"/>
          <w:color w:val="000000"/>
          <w:spacing w:val="-4"/>
          <w:sz w:val="40"/>
          <w:szCs w:val="32"/>
          <w:rtl/>
        </w:rPr>
        <w:t>«</w:t>
      </w:r>
      <w:r w:rsidRPr="00BA409D">
        <w:rPr>
          <w:rFonts w:cs="Lotus Linotype"/>
          <w:szCs w:val="28"/>
          <w:rtl/>
        </w:rPr>
        <w:t>إذا دعي إلى وليمة فيها معصية، كالخمر والزمر والعود ونحوه، وأمكنه الإنكار وإزالة المنكر، لزمه الحضور والإنكار؛ لأنه يؤدي فرضين: إجابة أخيه المسلم وإزالة المنكر. وإن لم يقدر على الإنكار، لم يحضر. وإن لم يعلم بالمنكر حتى حضر، أزاله، فإن لم يقدر انصرف. ونحو هذا قال الشافعي.</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18"/>
      </w:r>
      <w:r w:rsidRPr="00394A4E">
        <w:rPr>
          <w:position w:val="4"/>
          <w:szCs w:val="34"/>
          <w:vertAlign w:val="superscript"/>
          <w:rtl/>
        </w:rPr>
        <w:t>)</w:t>
      </w:r>
      <w:r w:rsidRPr="00BA409D">
        <w:rPr>
          <w:rFonts w:cs="Lotus Linotype"/>
          <w:szCs w:val="28"/>
          <w:rtl/>
        </w:rPr>
        <w:t xml:space="preserve"> </w:t>
      </w:r>
    </w:p>
    <w:p w:rsidR="00A41217" w:rsidRPr="00BA409D" w:rsidRDefault="00A41217" w:rsidP="002F4C43">
      <w:pPr>
        <w:pStyle w:val="NoSpacing"/>
        <w:widowControl w:val="0"/>
        <w:spacing w:before="180" w:line="216" w:lineRule="auto"/>
        <w:ind w:firstLine="425"/>
        <w:jc w:val="lowKashida"/>
        <w:rPr>
          <w:rFonts w:cs="Lotus Linotype"/>
          <w:szCs w:val="28"/>
        </w:rPr>
      </w:pPr>
      <w:r w:rsidRPr="00BA409D">
        <w:rPr>
          <w:rFonts w:cs="Lotus Linotype"/>
          <w:szCs w:val="28"/>
          <w:rtl/>
        </w:rPr>
        <w:t xml:space="preserve">فالذي ينبغي للمسلم الذي لا يقدر على إزالة المنكر ألا يتلبس به، فإن تيسر له الانصراف انصرف، وإن قدر المصلحة في البقاء، بقي منكرًا بقلبه ومظهرًا كراهة المنكر قدر استطاعته. ولعل كلام ابن قدامة في وجوب الانصراف متجه في المناسبات الخاصة عندما يكون الداعي أو صاحب المكان هو المباشر للمنكرات أو المقر لها، ولكن المناشط المشتركة تكون غالبًا في </w:t>
      </w:r>
      <w:r w:rsidRPr="00BA409D">
        <w:rPr>
          <w:rFonts w:cs="Lotus Linotype"/>
          <w:szCs w:val="28"/>
          <w:rtl/>
        </w:rPr>
        <w:lastRenderedPageBreak/>
        <w:t xml:space="preserve">فضاءات عامة. وقد يقال أيضًا إن ما ذكره ابن قدامة </w:t>
      </w:r>
      <w:r>
        <w:rPr>
          <w:rFonts w:cs="CTraditional Arabic"/>
          <w:rtl/>
        </w:rPr>
        <w:t>:</w:t>
      </w:r>
      <w:r w:rsidRPr="00BA409D">
        <w:rPr>
          <w:rFonts w:cs="Lotus Linotype"/>
          <w:szCs w:val="28"/>
          <w:rtl/>
        </w:rPr>
        <w:t xml:space="preserve"> متجه في البلاد الإسلامية حينما يكون الإسلام ظاهرًا فيحاصر المسلمون المنكرات برفضهم لها وإعراضهم عمن تلبس بها. أما في أزمنة غربة الدين، فالحاجة ماسة إلى البلاغ، وترك كل مجلس أو منتدى لوجود شيء من المنكرات فيه يضيق على المسلمين سبل البلاغ، فيرجى أن يعفو الله لمن حسنت نيته عن المكث مع ترك بعض الإنكار للمصالح الراجحة. </w:t>
      </w:r>
    </w:p>
    <w:p w:rsidR="00A41217" w:rsidRPr="00BA409D" w:rsidRDefault="00A41217" w:rsidP="00E43B86">
      <w:pPr>
        <w:pStyle w:val="NoSpacing"/>
        <w:widowControl w:val="0"/>
        <w:spacing w:before="180" w:line="216" w:lineRule="auto"/>
        <w:ind w:firstLine="425"/>
        <w:jc w:val="both"/>
        <w:rPr>
          <w:rFonts w:cs="Lotus Linotype"/>
          <w:szCs w:val="28"/>
          <w:rtl/>
        </w:rPr>
      </w:pPr>
      <w:r w:rsidRPr="00BA409D">
        <w:rPr>
          <w:rFonts w:cs="Lotus Linotype"/>
          <w:color w:val="222222"/>
          <w:szCs w:val="28"/>
          <w:rtl/>
        </w:rPr>
        <w:t xml:space="preserve">إن هناك </w:t>
      </w:r>
      <w:r w:rsidRPr="00BA409D">
        <w:rPr>
          <w:rFonts w:cs="Lotus Linotype"/>
          <w:szCs w:val="28"/>
          <w:rtl/>
        </w:rPr>
        <w:t>قدرًا</w:t>
      </w:r>
      <w:r w:rsidRPr="00BA409D">
        <w:rPr>
          <w:rFonts w:cs="Lotus Linotype"/>
          <w:color w:val="222222"/>
          <w:szCs w:val="28"/>
          <w:rtl/>
        </w:rPr>
        <w:t xml:space="preserve"> من التسامح تقتضيه المخالطة، ف</w:t>
      </w:r>
      <w:r w:rsidRPr="00BA409D">
        <w:rPr>
          <w:rFonts w:cs="Lotus Linotype"/>
          <w:szCs w:val="28"/>
          <w:rtl/>
        </w:rPr>
        <w:t xml:space="preserve">لا شك أن المخالط للمخالفين في الدين لا يملك أن ينكر عليهم كل ما يقعون فيه من المنكرات، وإلا نفر الناس عنه. لقد ولي يوسف الوزارة لملك مصر وخالط أهلها ولم يكونوا على دينه، ولا شك أنه لم يكن مطلق اليد، بل الأظهر أنه سكت عن أشياء من دين الملك وأفعاله لم يرضها، أو على الأقل لم يك ليغيرها. يقول الإمام ابن تيمية </w:t>
      </w:r>
      <w:r w:rsidRPr="00E43B86">
        <w:rPr>
          <w:rFonts w:cs="CTraditional Arabic"/>
          <w:rtl/>
        </w:rPr>
        <w:t>:</w:t>
      </w:r>
      <w:r w:rsidRPr="00BA409D">
        <w:rPr>
          <w:rFonts w:cs="Lotus Linotype"/>
          <w:szCs w:val="28"/>
          <w:rtl/>
        </w:rPr>
        <w:t xml:space="preserve">: </w:t>
      </w:r>
      <w:r w:rsidRPr="00E43B86">
        <w:rPr>
          <w:rFonts w:cs="Lotus Linotype"/>
          <w:color w:val="000000"/>
          <w:spacing w:val="-4"/>
          <w:sz w:val="40"/>
          <w:szCs w:val="32"/>
          <w:rtl/>
        </w:rPr>
        <w:t>«</w:t>
      </w:r>
      <w:r w:rsidRPr="00BA409D">
        <w:rPr>
          <w:rFonts w:cs="Lotus Linotype"/>
          <w:szCs w:val="28"/>
          <w:rtl/>
        </w:rPr>
        <w:t xml:space="preserve">... ومن هذا الباب تولي يوسف الصديق على خزائن الأرض لملك مصر بل ومسألته أن يجعله على خزائن الأرض وكان هو وقومه كفارا كما قال تعالى: </w:t>
      </w:r>
      <w:r w:rsidRPr="00E43B86">
        <w:rPr>
          <w:rFonts w:ascii="QCF_BSML" w:hAnsi="QCF_BSML" w:cs="QCF_BSML"/>
          <w:color w:val="000000"/>
          <w:sz w:val="29"/>
          <w:szCs w:val="29"/>
          <w:rtl/>
        </w:rPr>
        <w:t>ﮋ</w:t>
      </w:r>
      <w:r w:rsidRPr="00E43B86">
        <w:rPr>
          <w:rFonts w:ascii="QCF_BSML" w:hAnsi="QCF_BSML" w:cs="QCF_BSML"/>
          <w:color w:val="000000"/>
          <w:sz w:val="2"/>
          <w:szCs w:val="2"/>
          <w:rtl/>
        </w:rPr>
        <w:t xml:space="preserve"> </w:t>
      </w:r>
      <w:r w:rsidRPr="00E43B86">
        <w:rPr>
          <w:rFonts w:ascii="QCF_P471" w:hAnsi="QCF_P471" w:cs="QCF_P471"/>
          <w:color w:val="000000"/>
          <w:sz w:val="29"/>
          <w:szCs w:val="29"/>
          <w:rtl/>
        </w:rPr>
        <w:t>ﭑ</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ﭒ</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ﭓ</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ﭔ</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ﭕ</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ﭖ</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ﭗ</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ﭘ</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ﭙ</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ﭚ</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ﭛ</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ﭜ</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ﭝﭞ</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ﭟ</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ﭠ</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ﭡ</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ﭢ</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ﭣ</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ﭤ</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ﭥ</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ﭦ</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ﭧ</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ﭨﭩ</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ﭪ</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ﭫ</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ﭬ</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ﭭ</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ﭮ</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ﭯ</w:t>
      </w:r>
      <w:r w:rsidRPr="00E43B86">
        <w:rPr>
          <w:rFonts w:ascii="QCF_P471" w:hAnsi="QCF_P471" w:cs="QCF_P471"/>
          <w:color w:val="000000"/>
          <w:sz w:val="2"/>
          <w:szCs w:val="2"/>
          <w:rtl/>
        </w:rPr>
        <w:t xml:space="preserve">   </w:t>
      </w:r>
      <w:r w:rsidRPr="00E43B86">
        <w:rPr>
          <w:rFonts w:ascii="QCF_P471" w:hAnsi="QCF_P471" w:cs="QCF_P471"/>
          <w:color w:val="000000"/>
          <w:sz w:val="29"/>
          <w:szCs w:val="29"/>
          <w:rtl/>
        </w:rPr>
        <w:t>ﭰ</w:t>
      </w:r>
      <w:r w:rsidRPr="00E43B86">
        <w:rPr>
          <w:rFonts w:ascii="QCF_BSML" w:hAnsi="QCF_BSML" w:cs="QCF_BSML"/>
          <w:color w:val="000000"/>
          <w:sz w:val="29"/>
          <w:szCs w:val="29"/>
          <w:rtl/>
        </w:rPr>
        <w:t>ﮊ</w:t>
      </w:r>
      <w:r w:rsidRPr="00E43B86">
        <w:rPr>
          <w:rFonts w:cs="Lotus Linotype"/>
          <w:sz w:val="32"/>
          <w:szCs w:val="26"/>
          <w:rtl/>
        </w:rPr>
        <w:t>[غافر: 34]</w:t>
      </w:r>
      <w:r w:rsidRPr="00BA409D">
        <w:rPr>
          <w:rFonts w:cs="Lotus Linotype"/>
          <w:szCs w:val="28"/>
          <w:rtl/>
        </w:rPr>
        <w:t xml:space="preserve"> ومعلوم أنه مع كفرهم لا بد أن يكون لهم عادة وسنة في قبض الأموال وصرفها على حاشية الملك وأهل بيته وجنده ورعيته ولا تكون تلك جارية على سنة الأنبياء وعدلهم ولم يكن يوسف يمكنه أن يفعل كل ما يريد وهو ما يراه من دين الله فإن القوم لم يستجيبوا له لكن فعل الممكن من العدل والإحسان ونال بالسلطان من إكرام المؤمنين من أهل بيته ما لم يكن يمكن أن يناله بدون ذلك وهذا كله داخل في قوله: "فَاتَّقُوا اللَّهَ مَا اسْتَطَعْتُمْ"[ التغابن:16].</w:t>
      </w:r>
      <w:r w:rsidRPr="00E43B86">
        <w:rPr>
          <w:rFonts w:cs="Lotus Linotype"/>
          <w:color w:val="000000"/>
          <w:spacing w:val="-4"/>
          <w:sz w:val="40"/>
          <w:szCs w:val="32"/>
          <w:rtl/>
        </w:rPr>
        <w:t>»</w:t>
      </w:r>
      <w:r w:rsidRPr="00E43B86">
        <w:rPr>
          <w:position w:val="4"/>
          <w:szCs w:val="34"/>
          <w:vertAlign w:val="superscript"/>
          <w:rtl/>
        </w:rPr>
        <w:t>(</w:t>
      </w:r>
      <w:r w:rsidRPr="00E43B86">
        <w:rPr>
          <w:rStyle w:val="FootnoteReference"/>
          <w:rFonts w:cs="Traditional Arabic"/>
          <w:position w:val="4"/>
          <w:szCs w:val="34"/>
          <w:rtl/>
        </w:rPr>
        <w:footnoteReference w:id="19"/>
      </w:r>
      <w:r w:rsidRPr="00E43B86">
        <w:rPr>
          <w:position w:val="4"/>
          <w:szCs w:val="34"/>
          <w:vertAlign w:val="superscript"/>
          <w:rtl/>
        </w:rPr>
        <w:t>)</w:t>
      </w:r>
      <w:r w:rsidRPr="00BA409D">
        <w:rPr>
          <w:rFonts w:cs="Lotus Linotype"/>
          <w:szCs w:val="28"/>
          <w:rtl/>
        </w:rPr>
        <w:t xml:space="preserve"> </w:t>
      </w:r>
    </w:p>
    <w:p w:rsidR="00A41217" w:rsidRPr="00BA409D" w:rsidRDefault="00A41217" w:rsidP="00E43B86">
      <w:pPr>
        <w:pStyle w:val="NoSpacing"/>
        <w:widowControl w:val="0"/>
        <w:spacing w:before="180" w:line="216" w:lineRule="auto"/>
        <w:ind w:firstLine="425"/>
        <w:jc w:val="both"/>
        <w:rPr>
          <w:rFonts w:cs="Lotus Linotype"/>
          <w:color w:val="222222"/>
          <w:szCs w:val="28"/>
        </w:rPr>
      </w:pPr>
      <w:r w:rsidRPr="00BA409D">
        <w:rPr>
          <w:rFonts w:cs="Lotus Linotype"/>
          <w:szCs w:val="28"/>
          <w:rtl/>
        </w:rPr>
        <w:t xml:space="preserve">ويمكن أن تقول شيئًا من ذلك في حكم النجاشي لقومه، فلم يكن قادرًا على أن يحكمهم بشرائع الإسلام، ولا شك أن مكان يوسف والنجاشي يفرض عليهما قدرًا كبيرًا من مخالطة القوم ولا يتصور أنهما نهياهم عن كل منكر رأياه، بله أن يكونا غيراه. </w:t>
      </w:r>
    </w:p>
    <w:p w:rsidR="00A41217" w:rsidRPr="00BA409D" w:rsidRDefault="00A41217" w:rsidP="00E43B86">
      <w:pPr>
        <w:pStyle w:val="NoSpacing"/>
        <w:widowControl w:val="0"/>
        <w:spacing w:before="180" w:line="216" w:lineRule="auto"/>
        <w:ind w:firstLine="425"/>
        <w:jc w:val="both"/>
        <w:rPr>
          <w:rFonts w:cs="Lotus Linotype"/>
          <w:szCs w:val="28"/>
          <w:rtl/>
        </w:rPr>
      </w:pPr>
      <w:r w:rsidRPr="00BA409D">
        <w:rPr>
          <w:rFonts w:cs="Lotus Linotype"/>
          <w:szCs w:val="28"/>
          <w:rtl/>
        </w:rPr>
        <w:t>وفي أحكام الزوجة الكتابية مثال لما تقتضيه المخالطة من غض الطرف وضرب الصفح. قال</w:t>
      </w:r>
      <w:r w:rsidRPr="000C7E4D">
        <w:rPr>
          <w:rFonts w:ascii="Times New Roman" w:hAnsi="Times New Roman" w:cs="Times New Roman"/>
          <w:szCs w:val="30"/>
          <w:rtl/>
        </w:rPr>
        <w:t> </w:t>
      </w:r>
      <w:r w:rsidRPr="00BA409D">
        <w:rPr>
          <w:rFonts w:cs="Lotus Linotype"/>
          <w:szCs w:val="28"/>
          <w:rtl/>
        </w:rPr>
        <w:t>المواق</w:t>
      </w:r>
      <w:r w:rsidRPr="000C7E4D">
        <w:rPr>
          <w:rFonts w:ascii="Times New Roman" w:hAnsi="Times New Roman" w:cs="Times New Roman"/>
          <w:szCs w:val="30"/>
          <w:rtl/>
        </w:rPr>
        <w:t> </w:t>
      </w:r>
      <w:r>
        <w:rPr>
          <w:rFonts w:cs="CTraditional Arabic"/>
          <w:rtl/>
        </w:rPr>
        <w:t>:</w:t>
      </w:r>
      <w:r w:rsidRPr="00BA409D">
        <w:rPr>
          <w:rFonts w:cs="Lotus Linotype"/>
          <w:szCs w:val="28"/>
          <w:rtl/>
        </w:rPr>
        <w:t xml:space="preserve"> في التاج والإكليل في كراهة نكاح الحرة الكتابية: </w:t>
      </w:r>
      <w:r w:rsidRPr="00D330BE">
        <w:rPr>
          <w:rFonts w:cs="Lotus Linotype"/>
          <w:color w:val="000000"/>
          <w:spacing w:val="-4"/>
          <w:sz w:val="40"/>
          <w:szCs w:val="32"/>
          <w:rtl/>
        </w:rPr>
        <w:t>«</w:t>
      </w:r>
      <w:r w:rsidRPr="00BA409D">
        <w:rPr>
          <w:rFonts w:cs="Lotus Linotype"/>
          <w:szCs w:val="28"/>
          <w:rtl/>
        </w:rPr>
        <w:t>وإنما كرهه مالك ولم يحرمه لما تتغذى به من خمر وخنزير وتغذى به ولده وهو يقبل ويضاجع وليس له منعها من ذلك ولا من الذهاب إلى الكنيسة</w:t>
      </w:r>
      <w:r w:rsidRPr="00B905DE">
        <w:rPr>
          <w:rFonts w:cs="Lotus Linotype"/>
          <w:color w:val="000000"/>
          <w:spacing w:val="-4"/>
          <w:sz w:val="40"/>
          <w:szCs w:val="32"/>
          <w:rtl/>
        </w:rPr>
        <w:t>»</w:t>
      </w:r>
      <w:r w:rsidRPr="00BA409D">
        <w:rPr>
          <w:rFonts w:cs="Lotus Linotype"/>
          <w:szCs w:val="28"/>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20"/>
      </w:r>
      <w:r w:rsidRPr="00394A4E">
        <w:rPr>
          <w:position w:val="4"/>
          <w:szCs w:val="34"/>
          <w:vertAlign w:val="superscript"/>
          <w:rtl/>
        </w:rPr>
        <w:t>)</w:t>
      </w:r>
      <w:r w:rsidRPr="00BA409D">
        <w:rPr>
          <w:rFonts w:cs="Lotus Linotype"/>
          <w:szCs w:val="28"/>
          <w:rtl/>
        </w:rPr>
        <w:t xml:space="preserve"> وفي جامع الخلال: </w:t>
      </w:r>
      <w:r w:rsidRPr="00D330BE">
        <w:rPr>
          <w:rFonts w:cs="Lotus Linotype"/>
          <w:color w:val="000000"/>
          <w:spacing w:val="-4"/>
          <w:sz w:val="40"/>
          <w:szCs w:val="32"/>
          <w:rtl/>
        </w:rPr>
        <w:t>«</w:t>
      </w:r>
      <w:r w:rsidRPr="00BA409D">
        <w:rPr>
          <w:rFonts w:cs="Lotus Linotype"/>
          <w:szCs w:val="28"/>
          <w:rtl/>
        </w:rPr>
        <w:t xml:space="preserve">حَدَّثَنَا مهنا، قَالَ: سألت أحمد، قُلْتُ: رجل مسلم تزوج نصرانية، أله أن يمنعها من شرب الخمر؟ قال: يأمرها. قلت: لا تقبل منه، أله أن يمنعها؟ قال: لا. قلت </w:t>
      </w:r>
      <w:r w:rsidRPr="00BA409D">
        <w:rPr>
          <w:rFonts w:cs="Lotus Linotype"/>
          <w:szCs w:val="28"/>
          <w:rtl/>
        </w:rPr>
        <w:lastRenderedPageBreak/>
        <w:t>لأحمد: له أن يمنعها أن تدخل في منزله الصليب؟ قال: يأمرها، فأما أن يمنعها فلا.</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21"/>
      </w:r>
      <w:r w:rsidRPr="00394A4E">
        <w:rPr>
          <w:position w:val="4"/>
          <w:szCs w:val="34"/>
          <w:vertAlign w:val="superscript"/>
          <w:rtl/>
        </w:rPr>
        <w:t>)</w:t>
      </w:r>
      <w:r w:rsidRPr="00BA409D">
        <w:rPr>
          <w:rFonts w:cs="Lotus Linotype"/>
          <w:szCs w:val="28"/>
          <w:rtl/>
        </w:rPr>
        <w:t xml:space="preserve"> </w:t>
      </w:r>
    </w:p>
    <w:p w:rsidR="00A41217" w:rsidRPr="00BA409D" w:rsidRDefault="00A41217" w:rsidP="00E43B86">
      <w:pPr>
        <w:pStyle w:val="NoSpacing"/>
        <w:widowControl w:val="0"/>
        <w:spacing w:before="180" w:line="216" w:lineRule="auto"/>
        <w:ind w:firstLine="425"/>
        <w:jc w:val="both"/>
        <w:rPr>
          <w:rFonts w:cs="Lotus Linotype"/>
          <w:szCs w:val="28"/>
          <w:rtl/>
        </w:rPr>
      </w:pPr>
      <w:r w:rsidRPr="00BA409D">
        <w:rPr>
          <w:rFonts w:cs="Lotus Linotype"/>
          <w:szCs w:val="28"/>
          <w:rtl/>
        </w:rPr>
        <w:t xml:space="preserve">ذكر ابن القيم </w:t>
      </w:r>
      <w:r>
        <w:rPr>
          <w:rFonts w:cs="CTraditional Arabic"/>
          <w:rtl/>
        </w:rPr>
        <w:t>:</w:t>
      </w:r>
      <w:r w:rsidRPr="00BA409D">
        <w:rPr>
          <w:rFonts w:cs="Lotus Linotype"/>
          <w:szCs w:val="28"/>
          <w:rtl/>
        </w:rPr>
        <w:t xml:space="preserve"> أنه: </w:t>
      </w:r>
      <w:r w:rsidRPr="00D330BE">
        <w:rPr>
          <w:rFonts w:cs="Lotus Linotype"/>
          <w:color w:val="000000"/>
          <w:spacing w:val="-4"/>
          <w:sz w:val="40"/>
          <w:szCs w:val="32"/>
          <w:rtl/>
        </w:rPr>
        <w:t>«</w:t>
      </w:r>
      <w:r w:rsidRPr="00BA409D">
        <w:rPr>
          <w:rFonts w:cs="Lotus Linotype"/>
          <w:szCs w:val="28"/>
          <w:rtl/>
        </w:rPr>
        <w:t>ليس له [الزوج المسلم] منعها، أي زوجته الكتابية، من صيامها الذي تعتقد وجوبه، وإن فوت عليه الاستمتاع في وقته ولا من صلاتها في بيته إلى الشرق وقد مكن النبيﷺ وفد نصارى نجران من صلاتهم في مسجده إلى قبلتهم، وليس للزوج المسلم حملها على كسر السبت ونحوه مما هو واجب في دينهم، وقد أقررناهم عليه.</w:t>
      </w:r>
      <w:r w:rsidRPr="00B905DE">
        <w:rPr>
          <w:rFonts w:cs="Lotus Linotype"/>
          <w:color w:val="000000"/>
          <w:spacing w:val="-4"/>
          <w:sz w:val="40"/>
          <w:szCs w:val="32"/>
          <w:rtl/>
        </w:rPr>
        <w:t>»</w:t>
      </w:r>
      <w:r w:rsidRPr="00394A4E">
        <w:rPr>
          <w:position w:val="4"/>
          <w:szCs w:val="34"/>
          <w:vertAlign w:val="superscript"/>
          <w:rtl/>
        </w:rPr>
        <w:t>(</w:t>
      </w:r>
      <w:r w:rsidRPr="00394A4E">
        <w:rPr>
          <w:rStyle w:val="FootnoteReference"/>
          <w:rFonts w:cs="Traditional Arabic"/>
          <w:color w:val="222222"/>
          <w:position w:val="4"/>
          <w:szCs w:val="34"/>
          <w:rtl/>
        </w:rPr>
        <w:footnoteReference w:id="22"/>
      </w:r>
      <w:r w:rsidRPr="00394A4E">
        <w:rPr>
          <w:position w:val="4"/>
          <w:szCs w:val="34"/>
          <w:vertAlign w:val="superscript"/>
          <w:rtl/>
        </w:rPr>
        <w:t>)</w:t>
      </w:r>
    </w:p>
    <w:p w:rsidR="00A41217" w:rsidRPr="00BA409D" w:rsidRDefault="00A41217" w:rsidP="00E43B86">
      <w:pPr>
        <w:pStyle w:val="NoSpacing"/>
        <w:widowControl w:val="0"/>
        <w:spacing w:before="180" w:line="216" w:lineRule="auto"/>
        <w:ind w:firstLine="425"/>
        <w:jc w:val="both"/>
        <w:rPr>
          <w:rFonts w:cs="Lotus Linotype"/>
          <w:szCs w:val="28"/>
          <w:rtl/>
        </w:rPr>
      </w:pPr>
      <w:r w:rsidRPr="00BA409D">
        <w:rPr>
          <w:rFonts w:cs="Lotus Linotype"/>
          <w:szCs w:val="28"/>
          <w:rtl/>
        </w:rPr>
        <w:t xml:space="preserve">وفي سماع النبيﷺ لكعب بن زهير </w:t>
      </w:r>
      <w:r w:rsidRPr="000C7E4D">
        <w:rPr>
          <w:rFonts w:ascii="Lotus Linotype" w:hAnsi="Lotus Linotype" w:cs="Lotus Linotype"/>
        </w:rPr>
        <w:sym w:font="AGA Arabesque" w:char="F074"/>
      </w:r>
      <w:r w:rsidRPr="00BA409D">
        <w:rPr>
          <w:rFonts w:cs="Lotus Linotype"/>
          <w:szCs w:val="28"/>
          <w:rtl/>
        </w:rPr>
        <w:t xml:space="preserve"> وهو ينشد قصيدة بانت سعاد، والتي اشتهرت بين الرواة وكثرت طرقها، ما يدل على أنه يتجوز مع بعض الناس ويضرب الصفح عن زلاتهم لمصلحة نفعهم أو الانتفاع بهم. ولقد كان رسول اللهﷺ ينطلق إلى المواسم والأسواق، ليلقى الناس في مجامعهم ويغشاهم في مجالسهم، ولا يتخيل أنه أمرهم بتغيير كل منكر رآه عليهم قبل أن يجلس إليهم ليكلمهم في أصل الدين، ولقد كانﷺ يغشاهم عند الكعبة وحولها من أصنامهم ثلاثمائة وستون. </w:t>
      </w:r>
    </w:p>
    <w:p w:rsidR="00A41217" w:rsidRPr="00BA409D" w:rsidRDefault="00A41217" w:rsidP="00E43B86">
      <w:pPr>
        <w:pStyle w:val="NoSpacing"/>
        <w:widowControl w:val="0"/>
        <w:spacing w:before="180" w:line="216" w:lineRule="auto"/>
        <w:ind w:firstLine="425"/>
        <w:jc w:val="both"/>
        <w:rPr>
          <w:rFonts w:cs="Lotus Linotype"/>
          <w:szCs w:val="28"/>
          <w:rtl/>
        </w:rPr>
      </w:pPr>
      <w:r w:rsidRPr="00BA409D">
        <w:rPr>
          <w:rFonts w:cs="Lotus Linotype"/>
          <w:szCs w:val="28"/>
          <w:rtl/>
        </w:rPr>
        <w:t xml:space="preserve">إن عدم الحديث إلى امرأة عن الإسلام بدعوى تبرجها - مسلمة كانت أو غير مسلمة - قد يحرم ملايين النساء من البلاغ. قال ابن تيمية </w:t>
      </w:r>
      <w:r>
        <w:rPr>
          <w:rFonts w:cs="CTraditional Arabic"/>
          <w:rtl/>
        </w:rPr>
        <w:t>:</w:t>
      </w:r>
      <w:r w:rsidRPr="00BA409D">
        <w:rPr>
          <w:rFonts w:cs="Lotus Linotype"/>
          <w:szCs w:val="28"/>
          <w:rtl/>
        </w:rPr>
        <w:t xml:space="preserve"> في ضبط الأمر بالمعروف والنهي عن المنكر: </w:t>
      </w:r>
    </w:p>
    <w:p w:rsidR="00A41217" w:rsidRPr="00BA409D" w:rsidRDefault="00A41217" w:rsidP="00E43B86">
      <w:pPr>
        <w:pStyle w:val="NoSpacing"/>
        <w:widowControl w:val="0"/>
        <w:pBdr>
          <w:top w:val="single" w:sz="24" w:space="1" w:color="auto"/>
          <w:left w:val="single" w:sz="24" w:space="4" w:color="auto"/>
          <w:bottom w:val="single" w:sz="24" w:space="1" w:color="auto"/>
          <w:right w:val="single" w:sz="24" w:space="4" w:color="auto"/>
        </w:pBdr>
        <w:spacing w:before="180" w:line="216" w:lineRule="auto"/>
        <w:ind w:left="614" w:right="720"/>
        <w:jc w:val="lowKashida"/>
        <w:rPr>
          <w:rFonts w:cs="Lotus Linotype"/>
          <w:szCs w:val="28"/>
          <w:rtl/>
        </w:rPr>
      </w:pPr>
      <w:r w:rsidRPr="00D330BE">
        <w:rPr>
          <w:rFonts w:cs="Lotus Linotype"/>
          <w:color w:val="000000"/>
          <w:spacing w:val="-4"/>
          <w:sz w:val="40"/>
          <w:szCs w:val="32"/>
          <w:rtl/>
        </w:rPr>
        <w:t>«</w:t>
      </w:r>
      <w:r w:rsidRPr="00BA409D">
        <w:rPr>
          <w:rFonts w:cs="Lotus Linotype"/>
          <w:szCs w:val="28"/>
          <w:rtl/>
        </w:rPr>
        <w:t xml:space="preserve">... </w:t>
      </w:r>
      <w:r w:rsidRPr="00BA409D">
        <w:rPr>
          <w:rFonts w:cs="Lotus Linotype"/>
          <w:b/>
          <w:bCs/>
          <w:szCs w:val="28"/>
          <w:rtl/>
        </w:rPr>
        <w:t>فإن الأمر والنهي وإن كان متضمناً لتحصيل مصلحة ودفع مفسدة فينظر في المعارض له، فإن كان الذي يفوت من المصالح أو يحصل من المفاسد أكثر لم يكن مأموراً به، بل يكون محرماً إذا كانت مفسدته أكثر من مصلحته</w:t>
      </w:r>
      <w:r w:rsidRPr="00B905DE">
        <w:rPr>
          <w:rFonts w:cs="Lotus Linotype"/>
          <w:color w:val="000000"/>
          <w:spacing w:val="-4"/>
          <w:sz w:val="40"/>
          <w:szCs w:val="32"/>
          <w:rtl/>
        </w:rPr>
        <w:t>»</w:t>
      </w:r>
      <w:r w:rsidRPr="00E43B86">
        <w:rPr>
          <w:position w:val="4"/>
          <w:szCs w:val="34"/>
          <w:vertAlign w:val="superscript"/>
          <w:rtl/>
        </w:rPr>
        <w:t>(</w:t>
      </w:r>
      <w:r w:rsidRPr="00E43B86">
        <w:rPr>
          <w:rStyle w:val="FootnoteReference"/>
          <w:rFonts w:cs="Traditional Arabic"/>
          <w:color w:val="222222"/>
          <w:position w:val="4"/>
          <w:szCs w:val="34"/>
          <w:rtl/>
        </w:rPr>
        <w:footnoteReference w:id="23"/>
      </w:r>
      <w:r w:rsidRPr="00E43B86">
        <w:rPr>
          <w:position w:val="4"/>
          <w:szCs w:val="34"/>
          <w:vertAlign w:val="superscript"/>
          <w:rtl/>
        </w:rPr>
        <w:t>)</w:t>
      </w:r>
    </w:p>
    <w:p w:rsidR="00A41217" w:rsidRPr="00BA409D" w:rsidRDefault="00A41217" w:rsidP="00E43B86">
      <w:pPr>
        <w:pStyle w:val="NoSpacing"/>
        <w:widowControl w:val="0"/>
        <w:spacing w:before="180" w:line="216" w:lineRule="auto"/>
        <w:ind w:firstLine="425"/>
        <w:jc w:val="both"/>
        <w:rPr>
          <w:rFonts w:cs="Lotus Linotype"/>
          <w:szCs w:val="28"/>
          <w:rtl/>
        </w:rPr>
      </w:pPr>
      <w:r w:rsidRPr="00BA409D">
        <w:rPr>
          <w:rFonts w:cs="Lotus Linotype"/>
          <w:szCs w:val="28"/>
          <w:rtl/>
        </w:rPr>
        <w:t xml:space="preserve">وكذلك، فإنه قد تفرض أحوال الناس وطبيعة الزمان على المفتي أن يختار أحيانًا قولًا ضعيفًا لمصلحة راجحة، وهو ما يعرف عند المالكية بإجراء العمل، وله قواعد لا بد للمفتي أن يحيط بها حتى لا يكون عمله بها محض اتباع للهوى، وهو ما جاءت الشريعة أصلًا لكفنا عنه. </w:t>
      </w:r>
    </w:p>
    <w:p w:rsidR="00A41217" w:rsidRPr="00BA409D" w:rsidRDefault="00A41217" w:rsidP="00E43B86">
      <w:pPr>
        <w:pStyle w:val="NoSpacing"/>
        <w:widowControl w:val="0"/>
        <w:spacing w:before="180" w:line="216" w:lineRule="auto"/>
        <w:ind w:firstLine="425"/>
        <w:jc w:val="both"/>
        <w:rPr>
          <w:rFonts w:cs="Lotus Linotype"/>
          <w:szCs w:val="28"/>
        </w:rPr>
      </w:pPr>
      <w:r w:rsidRPr="00BA409D">
        <w:rPr>
          <w:rFonts w:cs="Lotus Linotype"/>
          <w:szCs w:val="28"/>
          <w:rtl/>
        </w:rPr>
        <w:t>مما سبق يظهر جواز ضرب الصفح عن بعض المنكرات لحاجة التعايش، لكن إنما يجوز ذلك، مع حسن النية والقصد، للمميز والباقي على إنكار القلب</w:t>
      </w:r>
      <w:r w:rsidRPr="00394A4E">
        <w:rPr>
          <w:position w:val="4"/>
          <w:szCs w:val="34"/>
          <w:vertAlign w:val="superscript"/>
          <w:rtl/>
        </w:rPr>
        <w:t>(</w:t>
      </w:r>
      <w:r w:rsidRPr="00394A4E">
        <w:rPr>
          <w:rStyle w:val="FootnoteReference"/>
          <w:rFonts w:cs="Traditional Arabic"/>
          <w:color w:val="222222"/>
          <w:position w:val="4"/>
          <w:szCs w:val="34"/>
          <w:rtl/>
        </w:rPr>
        <w:footnoteReference w:id="24"/>
      </w:r>
      <w:r w:rsidRPr="00394A4E">
        <w:rPr>
          <w:position w:val="4"/>
          <w:szCs w:val="34"/>
          <w:vertAlign w:val="superscript"/>
          <w:rtl/>
        </w:rPr>
        <w:t>)</w:t>
      </w:r>
      <w:r w:rsidRPr="00BA409D">
        <w:rPr>
          <w:rFonts w:cs="Lotus Linotype"/>
          <w:szCs w:val="28"/>
          <w:rtl/>
        </w:rPr>
        <w:t xml:space="preserve">، فمتى خشي الإنسان إلف المعصية، فلا نراه أهلًا لمخالطة أهلها، ولا يخفى أن أكثر </w:t>
      </w:r>
      <w:r w:rsidRPr="00BA409D">
        <w:rPr>
          <w:rFonts w:cs="Lotus Linotype"/>
          <w:szCs w:val="28"/>
          <w:rtl/>
        </w:rPr>
        <w:lastRenderedPageBreak/>
        <w:t xml:space="preserve">المخالطين هم من هذا الصنف الثاني. </w:t>
      </w:r>
    </w:p>
    <w:p w:rsidR="00A41217" w:rsidRPr="00E43B86" w:rsidRDefault="00A41217" w:rsidP="00E43B86">
      <w:pPr>
        <w:pStyle w:val="Heading2"/>
        <w:keepNext w:val="0"/>
        <w:keepLines w:val="0"/>
        <w:widowControl w:val="0"/>
        <w:spacing w:before="240" w:line="216" w:lineRule="auto"/>
        <w:rPr>
          <w:rFonts w:cs="الحوكمي عنوان2"/>
          <w:b w:val="0"/>
          <w:bCs w:val="0"/>
          <w:sz w:val="28"/>
          <w:szCs w:val="28"/>
          <w:rtl/>
        </w:rPr>
      </w:pPr>
      <w:bookmarkStart w:id="15" w:name="_Toc444382231"/>
      <w:r w:rsidRPr="00E43B86">
        <w:rPr>
          <w:rFonts w:cs="الحوكمي عنوان2"/>
          <w:b w:val="0"/>
          <w:bCs w:val="0"/>
          <w:sz w:val="28"/>
          <w:szCs w:val="28"/>
          <w:rtl/>
        </w:rPr>
        <w:t>اللياقة والمعاملة بالمثل:</w:t>
      </w:r>
      <w:bookmarkEnd w:id="15"/>
    </w:p>
    <w:p w:rsidR="00A41217" w:rsidRPr="00BA409D" w:rsidRDefault="00A41217" w:rsidP="00AF56B1">
      <w:pPr>
        <w:pStyle w:val="NoSpacing"/>
        <w:widowControl w:val="0"/>
        <w:spacing w:before="180" w:line="216" w:lineRule="auto"/>
        <w:ind w:firstLine="425"/>
        <w:jc w:val="both"/>
        <w:rPr>
          <w:rFonts w:cs="Lotus Linotype"/>
          <w:szCs w:val="28"/>
          <w:rtl/>
        </w:rPr>
      </w:pPr>
      <w:r w:rsidRPr="00BA409D">
        <w:rPr>
          <w:rFonts w:cs="Lotus Linotype"/>
          <w:szCs w:val="28"/>
          <w:rtl/>
        </w:rPr>
        <w:t xml:space="preserve">يتساءل البعض أحيانًا عن مشروعية بداءة غير المسلمين بتحية السلام أو تلقيبهم بالسيد أو وصفهم بالأصدقاء، فمن الناس من يقول بعدم جوازه لما ورد في الصحاح من النهي عن الأول ولقولهﷺ: </w:t>
      </w:r>
      <w:r w:rsidRPr="00AF56B1">
        <w:rPr>
          <w:rFonts w:cs="Lotus Linotype"/>
          <w:color w:val="000000"/>
          <w:spacing w:val="-4"/>
          <w:sz w:val="40"/>
          <w:szCs w:val="32"/>
          <w:rtl/>
        </w:rPr>
        <w:t>«</w:t>
      </w:r>
      <w:r w:rsidRPr="00BA409D">
        <w:rPr>
          <w:rFonts w:cs="Lotus Linotype"/>
          <w:b/>
          <w:bCs/>
          <w:szCs w:val="28"/>
          <w:rtl/>
        </w:rPr>
        <w:t>لا تقولوا للمنافق سيدنا، فإنه إن يك سيدكم فقد أسخطتم ربكم.</w:t>
      </w:r>
      <w:r w:rsidRPr="00AF56B1">
        <w:rPr>
          <w:rFonts w:cs="Lotus Linotype"/>
          <w:b/>
          <w:bCs/>
          <w:color w:val="000000"/>
          <w:spacing w:val="-4"/>
          <w:sz w:val="40"/>
          <w:szCs w:val="32"/>
          <w:rtl/>
        </w:rPr>
        <w:t>»</w:t>
      </w:r>
      <w:r w:rsidRPr="00AF56B1">
        <w:rPr>
          <w:position w:val="4"/>
          <w:szCs w:val="34"/>
          <w:vertAlign w:val="superscript"/>
          <w:rtl/>
        </w:rPr>
        <w:t>(</w:t>
      </w:r>
      <w:r w:rsidRPr="00AF56B1">
        <w:rPr>
          <w:rStyle w:val="FootnoteReference"/>
          <w:rFonts w:cs="Traditional Arabic"/>
          <w:color w:val="222222"/>
          <w:position w:val="4"/>
          <w:szCs w:val="34"/>
          <w:rtl/>
        </w:rPr>
        <w:footnoteReference w:id="25"/>
      </w:r>
      <w:r w:rsidRPr="00AF56B1">
        <w:rPr>
          <w:position w:val="4"/>
          <w:szCs w:val="34"/>
          <w:vertAlign w:val="superscript"/>
          <w:rtl/>
        </w:rPr>
        <w:t>)</w:t>
      </w:r>
      <w:r w:rsidRPr="00BA409D">
        <w:rPr>
          <w:rFonts w:cs="Lotus Linotype"/>
          <w:szCs w:val="28"/>
          <w:rtl/>
        </w:rPr>
        <w:t xml:space="preserve"> ولقوله تعالى: </w:t>
      </w:r>
      <w:r w:rsidRPr="00AF56B1">
        <w:rPr>
          <w:rFonts w:ascii="QCF_BSML" w:hAnsi="QCF_BSML" w:cs="QCF_BSML"/>
          <w:color w:val="000000"/>
          <w:sz w:val="30"/>
          <w:szCs w:val="30"/>
          <w:rtl/>
        </w:rPr>
        <w:t xml:space="preserve">ﮋ </w:t>
      </w:r>
      <w:r w:rsidRPr="00AF56B1">
        <w:rPr>
          <w:rFonts w:ascii="QCF_P549" w:hAnsi="QCF_P549" w:cs="QCF_P549"/>
          <w:color w:val="000000"/>
          <w:sz w:val="30"/>
          <w:szCs w:val="30"/>
          <w:rtl/>
        </w:rPr>
        <w:t>ﭑ ﭒ ﭓ ﭔ ﭕ ﭖ ﭗ ﭘ ﭙ   ﭚ  ﭛ ﭜ ﭝ   ﭞ ﭟ ﭠ ﭡ</w:t>
      </w:r>
      <w:r w:rsidRPr="00AF56B1">
        <w:rPr>
          <w:rFonts w:ascii="QCF_BSML" w:hAnsi="QCF_BSML" w:cs="QCF_BSML"/>
          <w:color w:val="000000"/>
          <w:sz w:val="30"/>
          <w:szCs w:val="30"/>
          <w:rtl/>
        </w:rPr>
        <w:t>ﮊ</w:t>
      </w:r>
      <w:r w:rsidRPr="00AF56B1">
        <w:rPr>
          <w:rFonts w:cs="Lotus Linotype"/>
          <w:sz w:val="32"/>
          <w:szCs w:val="26"/>
          <w:rtl/>
        </w:rPr>
        <w:t>[الممتحنة:1]</w:t>
      </w:r>
      <w:r w:rsidRPr="00BA409D">
        <w:rPr>
          <w:rFonts w:cs="Lotus Linotype"/>
          <w:szCs w:val="28"/>
          <w:rtl/>
        </w:rPr>
        <w:t xml:space="preserve"> ولكن الولاية المذكورة في هذه الآية وغيرها ليست مجرد الصداقة والأعراف التي يفهم بها كلام الناس لا تعطي لكلمة السيد نفس المعنى الذي كانت تعنيه في زمنهﷺ من التعظيم والتبجيل، بل تستعمل مع كل أحد كنوع من أدب الخطاب. وبخلاف ما للأعراف من أثر مهم في تحقيق مناطات الأحكام المختصة بالمعاملات، فهناك أمر آخر ذو اعتبار، وهو اللياقة والمعاملة بالمثل ورد الجميل. قال عبد الله بن عباس </w:t>
      </w:r>
      <w:r w:rsidRPr="00AF56B1">
        <w:rPr>
          <w:rFonts w:ascii="Lotus Linotype" w:hAnsi="Lotus Linotype" w:cs="Lotus Linotype"/>
        </w:rPr>
        <w:sym w:font="AGA Arabesque" w:char="F074"/>
      </w:r>
      <w:r w:rsidRPr="00BA409D">
        <w:rPr>
          <w:rFonts w:cs="Lotus Linotype"/>
          <w:szCs w:val="28"/>
          <w:rtl/>
        </w:rPr>
        <w:t xml:space="preserve">: </w:t>
      </w:r>
      <w:r w:rsidRPr="00AF56B1">
        <w:rPr>
          <w:rFonts w:cs="Lotus Linotype"/>
          <w:color w:val="000000"/>
          <w:spacing w:val="-4"/>
          <w:sz w:val="40"/>
          <w:szCs w:val="32"/>
          <w:rtl/>
        </w:rPr>
        <w:t>«</w:t>
      </w:r>
      <w:r w:rsidRPr="00BA409D">
        <w:rPr>
          <w:rFonts w:cs="Lotus Linotype"/>
          <w:szCs w:val="28"/>
          <w:rtl/>
        </w:rPr>
        <w:t>لو قال لي فرعون بارك الله فيك، لقلت وفيك.</w:t>
      </w:r>
      <w:r w:rsidRPr="00AF56B1">
        <w:rPr>
          <w:rFonts w:cs="Lotus Linotype"/>
          <w:color w:val="000000"/>
          <w:spacing w:val="-4"/>
          <w:sz w:val="40"/>
          <w:szCs w:val="32"/>
          <w:rtl/>
        </w:rPr>
        <w:t>»</w:t>
      </w:r>
      <w:r w:rsidRPr="00AF56B1">
        <w:rPr>
          <w:position w:val="4"/>
          <w:szCs w:val="34"/>
          <w:vertAlign w:val="superscript"/>
          <w:rtl/>
        </w:rPr>
        <w:t>(</w:t>
      </w:r>
      <w:r w:rsidRPr="00AF56B1">
        <w:rPr>
          <w:rStyle w:val="FootnoteReference"/>
          <w:rFonts w:cs="Traditional Arabic"/>
          <w:color w:val="222222"/>
          <w:position w:val="4"/>
          <w:szCs w:val="34"/>
          <w:rtl/>
        </w:rPr>
        <w:footnoteReference w:id="26"/>
      </w:r>
      <w:r w:rsidRPr="00AF56B1">
        <w:rPr>
          <w:position w:val="4"/>
          <w:szCs w:val="34"/>
          <w:vertAlign w:val="superscript"/>
          <w:rtl/>
        </w:rPr>
        <w:t>)</w:t>
      </w:r>
      <w:r w:rsidRPr="00BA409D">
        <w:rPr>
          <w:rFonts w:cs="Lotus Linotype"/>
          <w:szCs w:val="28"/>
          <w:rtl/>
        </w:rPr>
        <w:t xml:space="preserve"> وأخرج الطبري </w:t>
      </w:r>
      <w:r w:rsidRPr="00AF56B1">
        <w:rPr>
          <w:rFonts w:cs="CTraditional Arabic"/>
          <w:rtl/>
        </w:rPr>
        <w:t>:</w:t>
      </w:r>
      <w:r w:rsidRPr="00BA409D">
        <w:rPr>
          <w:rFonts w:cs="Lotus Linotype"/>
          <w:szCs w:val="28"/>
          <w:rtl/>
        </w:rPr>
        <w:t xml:space="preserve"> بسند صحيح عن علقمة </w:t>
      </w:r>
      <w:r w:rsidRPr="00AF56B1">
        <w:rPr>
          <w:rFonts w:cs="CTraditional Arabic"/>
          <w:rtl/>
        </w:rPr>
        <w:t>:</w:t>
      </w:r>
      <w:r w:rsidRPr="00BA409D">
        <w:rPr>
          <w:rFonts w:cs="Lotus Linotype"/>
          <w:szCs w:val="28"/>
          <w:rtl/>
        </w:rPr>
        <w:t xml:space="preserve"> قال </w:t>
      </w:r>
      <w:r w:rsidRPr="00AF56B1">
        <w:rPr>
          <w:rFonts w:cs="Lotus Linotype"/>
          <w:color w:val="000000"/>
          <w:spacing w:val="-4"/>
          <w:sz w:val="40"/>
          <w:szCs w:val="32"/>
          <w:rtl/>
        </w:rPr>
        <w:t>«</w:t>
      </w:r>
      <w:r w:rsidRPr="00BA409D">
        <w:rPr>
          <w:rFonts w:cs="Lotus Linotype"/>
          <w:szCs w:val="28"/>
          <w:rtl/>
        </w:rPr>
        <w:t>كنت ردفا لابن مسعود، فصحبنا دهقان فلما انشعبت له الطريق أخذ فيها فأتبعه عبد الله بصره فقال السلام عليكم. فقلت ألست تكره أن يبدؤوا بالسلام؟ قال نعم ولكن حق الصحبة.</w:t>
      </w:r>
      <w:r w:rsidRPr="00AF56B1">
        <w:rPr>
          <w:rFonts w:cs="Lotus Linotype"/>
          <w:color w:val="000000"/>
          <w:spacing w:val="-4"/>
          <w:sz w:val="40"/>
          <w:szCs w:val="32"/>
          <w:rtl/>
        </w:rPr>
        <w:t>»</w:t>
      </w:r>
      <w:r w:rsidRPr="00AF56B1">
        <w:rPr>
          <w:position w:val="4"/>
          <w:szCs w:val="34"/>
          <w:vertAlign w:val="superscript"/>
          <w:rtl/>
        </w:rPr>
        <w:t>(</w:t>
      </w:r>
      <w:r w:rsidRPr="00AF56B1">
        <w:rPr>
          <w:rStyle w:val="FootnoteReference"/>
          <w:rFonts w:cs="Traditional Arabic"/>
          <w:color w:val="222222"/>
          <w:position w:val="4"/>
          <w:szCs w:val="34"/>
          <w:rtl/>
        </w:rPr>
        <w:footnoteReference w:id="27"/>
      </w:r>
      <w:r w:rsidRPr="00AF56B1">
        <w:rPr>
          <w:position w:val="4"/>
          <w:szCs w:val="34"/>
          <w:vertAlign w:val="superscript"/>
          <w:rtl/>
        </w:rPr>
        <w:t>)</w:t>
      </w:r>
      <w:r w:rsidRPr="00BA409D">
        <w:rPr>
          <w:rFonts w:cs="Lotus Linotype"/>
          <w:szCs w:val="28"/>
          <w:rtl/>
        </w:rPr>
        <w:t xml:space="preserve"> لقد كان من السلف من لا يرى بأسا بابتدائهم بالسلام وتأولوا النهي الوارد في ذلك باختصاصه بأقوام بعينهم من أهل الكتاب أو بأنه خاص بعدم وجود السبب الداعي إليه، لكن هذا الأثر يبين أن ابن مسعود لم يكن منهم، ولكنه قدر أن للصحبة (الخلطة) حقوقًا تسوغ الاستثناء. </w:t>
      </w:r>
    </w:p>
    <w:p w:rsidR="00A41217" w:rsidRPr="00BA409D" w:rsidRDefault="00A41217" w:rsidP="00AF56B1">
      <w:pPr>
        <w:pStyle w:val="NoSpacing"/>
        <w:widowControl w:val="0"/>
        <w:spacing w:before="180" w:line="216" w:lineRule="auto"/>
        <w:ind w:firstLine="425"/>
        <w:jc w:val="both"/>
        <w:rPr>
          <w:rFonts w:cs="Lotus Linotype"/>
          <w:szCs w:val="28"/>
        </w:rPr>
      </w:pPr>
      <w:r w:rsidRPr="00BA409D">
        <w:rPr>
          <w:rFonts w:cs="Lotus Linotype"/>
          <w:szCs w:val="28"/>
          <w:rtl/>
        </w:rPr>
        <w:t xml:space="preserve">والخلاصة أنه يجوز حضور المناشط المباحة في أصلها وإن اكتنفتها بعض المنكرات، متى حسنت النية وغلب على ظن المميز رجحان المصلحة ولم يتلبس بالمنكر واجتنبه قدر استطاعته. </w:t>
      </w:r>
      <w:r w:rsidRPr="000C7E4D">
        <w:rPr>
          <w:rFonts w:ascii="Times New Roman" w:hAnsi="Times New Roman" w:cs="Times New Roman"/>
          <w:szCs w:val="30"/>
          <w:rtl/>
        </w:rPr>
        <w:t> </w:t>
      </w:r>
    </w:p>
    <w:p w:rsidR="00A41217" w:rsidRPr="00AF56B1" w:rsidRDefault="00A41217" w:rsidP="00DB08BD">
      <w:pPr>
        <w:pStyle w:val="Heading2"/>
        <w:keepNext w:val="0"/>
        <w:keepLines w:val="0"/>
        <w:widowControl w:val="0"/>
        <w:spacing w:before="240" w:line="216" w:lineRule="auto"/>
        <w:rPr>
          <w:rFonts w:cs="الحوكمي عنوان2"/>
          <w:b w:val="0"/>
          <w:bCs w:val="0"/>
          <w:sz w:val="28"/>
          <w:szCs w:val="28"/>
          <w:rtl/>
        </w:rPr>
      </w:pPr>
      <w:bookmarkStart w:id="16" w:name="_Toc444382232"/>
      <w:r w:rsidRPr="00AF56B1">
        <w:rPr>
          <w:rFonts w:cs="الحوكمي عنوان2"/>
          <w:b w:val="0"/>
          <w:bCs w:val="0"/>
          <w:sz w:val="28"/>
          <w:szCs w:val="28"/>
          <w:rtl/>
        </w:rPr>
        <w:t>التطبيقات العملية:</w:t>
      </w:r>
      <w:bookmarkEnd w:id="16"/>
      <w:r w:rsidRPr="00AF56B1">
        <w:rPr>
          <w:rFonts w:cs="الحوكمي عنوان2"/>
          <w:b w:val="0"/>
          <w:bCs w:val="0"/>
          <w:sz w:val="28"/>
          <w:szCs w:val="28"/>
          <w:rtl/>
        </w:rPr>
        <w:t xml:space="preserve"> </w:t>
      </w:r>
    </w:p>
    <w:p w:rsidR="00A41217" w:rsidRPr="00BA409D" w:rsidRDefault="00A41217" w:rsidP="00DB08BD">
      <w:pPr>
        <w:pStyle w:val="NoSpacing"/>
        <w:widowControl w:val="0"/>
        <w:spacing w:line="216" w:lineRule="auto"/>
        <w:ind w:firstLine="425"/>
        <w:jc w:val="both"/>
        <w:rPr>
          <w:rFonts w:cs="Lotus Linotype"/>
          <w:szCs w:val="28"/>
          <w:rtl/>
        </w:rPr>
      </w:pPr>
      <w:r w:rsidRPr="00BA409D">
        <w:rPr>
          <w:rFonts w:cs="Lotus Linotype"/>
          <w:szCs w:val="28"/>
          <w:rtl/>
        </w:rPr>
        <w:t xml:space="preserve">أنبه في بداية الكلام عن التطبيقات العملية أن السؤال كان عن حضور مناشط مباحة في أصلها ولكن تكتنفها بعض المنكرات. أما المناشط المحرمة في أصلها أو التي تدعو إلى محرم أو تعين ظالما أو تناصره، فهذه خارج موضوعنا، والأصل في حكم حضورها والمشاركة فيها المنع. هناك فرق بين حضور مؤتمر لدعم زواج المثليين وآخر لدعم الحقوق المدنية للجميع، وإن </w:t>
      </w:r>
      <w:r w:rsidRPr="00BA409D">
        <w:rPr>
          <w:rFonts w:cs="Lotus Linotype"/>
          <w:szCs w:val="28"/>
          <w:rtl/>
        </w:rPr>
        <w:lastRenderedPageBreak/>
        <w:t xml:space="preserve">شارك فيه المثليون. وهناك فرق بين تلبية الدعوة لشراب في أحد البارات وحضور عشاء خيري لدعم أحد المرشحين المساندين لحقوق المسلمين، وإن علم أن العشاء تقدم فيه الخمور. </w:t>
      </w:r>
    </w:p>
    <w:p w:rsidR="00A41217" w:rsidRPr="00AF56B1" w:rsidRDefault="00A41217" w:rsidP="00DB08BD">
      <w:pPr>
        <w:pStyle w:val="Heading2"/>
        <w:keepNext w:val="0"/>
        <w:keepLines w:val="0"/>
        <w:widowControl w:val="0"/>
        <w:spacing w:before="0" w:line="216" w:lineRule="auto"/>
        <w:rPr>
          <w:rFonts w:cs="الحوكمي عنوان2"/>
          <w:b w:val="0"/>
          <w:bCs w:val="0"/>
          <w:sz w:val="28"/>
          <w:szCs w:val="28"/>
          <w:rtl/>
        </w:rPr>
      </w:pPr>
      <w:bookmarkStart w:id="17" w:name="_Toc444382233"/>
      <w:r w:rsidRPr="00AF56B1">
        <w:rPr>
          <w:rFonts w:cs="الحوكمي عنوان2"/>
          <w:b w:val="0"/>
          <w:bCs w:val="0"/>
          <w:sz w:val="28"/>
          <w:szCs w:val="28"/>
          <w:rtl/>
        </w:rPr>
        <w:t>حضور المناشط التي يشرب فيها الخمر:</w:t>
      </w:r>
      <w:bookmarkEnd w:id="17"/>
    </w:p>
    <w:p w:rsidR="00A41217" w:rsidRPr="00BA409D" w:rsidRDefault="00A41217" w:rsidP="00DB08BD">
      <w:pPr>
        <w:pStyle w:val="NoSpacing"/>
        <w:widowControl w:val="0"/>
        <w:spacing w:line="216" w:lineRule="auto"/>
        <w:ind w:firstLine="425"/>
        <w:jc w:val="both"/>
        <w:rPr>
          <w:rFonts w:cs="Lotus Linotype"/>
          <w:color w:val="222222"/>
          <w:szCs w:val="28"/>
          <w:rtl/>
        </w:rPr>
      </w:pPr>
      <w:r w:rsidRPr="00BA409D">
        <w:rPr>
          <w:rFonts w:cs="Lotus Linotype"/>
          <w:szCs w:val="28"/>
          <w:rtl/>
        </w:rPr>
        <w:t>لا شك أن الله قد أمرنا باجتناب الخمر والابتعاد عنها وعن متعاطيها. قال</w:t>
      </w:r>
      <w:r w:rsidRPr="000C7E4D">
        <w:rPr>
          <w:rFonts w:ascii="Lotus Linotype" w:hAnsi="Lotus Linotype" w:cs="Lotus Linotype"/>
        </w:rPr>
        <w:sym w:font="AGA Arabesque" w:char="F049"/>
      </w:r>
      <w:r w:rsidRPr="00BA409D">
        <w:rPr>
          <w:rFonts w:cs="Lotus Linotype"/>
          <w:szCs w:val="28"/>
          <w:rtl/>
        </w:rPr>
        <w:t xml:space="preserve">: </w:t>
      </w:r>
      <w:r w:rsidRPr="00AF56B1">
        <w:rPr>
          <w:rFonts w:ascii="QCF_BSML" w:hAnsi="QCF_BSML" w:cs="QCF_BSML"/>
          <w:color w:val="000000"/>
          <w:sz w:val="30"/>
          <w:szCs w:val="30"/>
          <w:rtl/>
        </w:rPr>
        <w:t xml:space="preserve">ﮋ </w:t>
      </w:r>
      <w:r w:rsidRPr="00AF56B1">
        <w:rPr>
          <w:rFonts w:ascii="QCF_P123" w:hAnsi="QCF_P123" w:cs="QCF_P123"/>
          <w:color w:val="000000"/>
          <w:sz w:val="30"/>
          <w:szCs w:val="30"/>
          <w:rtl/>
        </w:rPr>
        <w:t xml:space="preserve">ﭑ ﭒ ﭓ ﭔ ﭕ      ﭖ ﭗ ﭘ ﭙ  ﭚ ﭛ ﭜ ﭝ ﭞ ﭟ </w:t>
      </w:r>
      <w:r w:rsidRPr="00AF56B1">
        <w:rPr>
          <w:rFonts w:ascii="QCF_BSML" w:hAnsi="QCF_BSML" w:cs="QCF_BSML"/>
          <w:color w:val="000000"/>
          <w:sz w:val="30"/>
          <w:szCs w:val="30"/>
          <w:rtl/>
        </w:rPr>
        <w:t>ﮊ</w:t>
      </w:r>
      <w:r w:rsidRPr="00AF56B1">
        <w:rPr>
          <w:rFonts w:cs="Lotus Linotype"/>
          <w:sz w:val="32"/>
          <w:szCs w:val="26"/>
          <w:rtl/>
        </w:rPr>
        <w:t>[المائدة: 90]</w:t>
      </w:r>
      <w:r w:rsidRPr="00BA409D">
        <w:rPr>
          <w:rFonts w:cs="Lotus Linotype"/>
          <w:szCs w:val="28"/>
          <w:rtl/>
        </w:rPr>
        <w:t xml:space="preserve"> والحكمة من ذلك أوضح من أن تحتاج إلى بيان، بل يكفيك أن تقرأ الإحصاءات المنتشرة عن آثار الخمر ومضارها على شاربيها ومخالطيهم. ولكن محض المكث في مكان تشرب فيه الخمور ليس محرمًا على وجه الحتم، وقد سبق أن الزوج ليس له منع زوجته الكتابية من شربها في بيته </w:t>
      </w:r>
      <w:r w:rsidRPr="000C7E4D">
        <w:rPr>
          <w:rFonts w:ascii="Times New Roman" w:hAnsi="Times New Roman" w:cs="Times New Roman"/>
          <w:szCs w:val="30"/>
          <w:rtl/>
        </w:rPr>
        <w:t>–</w:t>
      </w:r>
      <w:r w:rsidRPr="00BA409D">
        <w:rPr>
          <w:rFonts w:ascii="Lotus Linotype" w:hAnsi="Lotus Linotype" w:cs="Lotus Linotype"/>
          <w:szCs w:val="28"/>
          <w:rtl/>
        </w:rPr>
        <w:t xml:space="preserve"> </w:t>
      </w:r>
      <w:r w:rsidRPr="00BA409D">
        <w:rPr>
          <w:rFonts w:cs="Lotus Linotype"/>
          <w:szCs w:val="28"/>
          <w:rtl/>
        </w:rPr>
        <w:t xml:space="preserve">على الصحيح من أقوال أهل العلم - وإن كان له منعها من السكر. أما الجلوس على مائدة يدار عليها بالخمر فممنوع، وقد قال رسول اللهﷺ: </w:t>
      </w:r>
      <w:r w:rsidRPr="00D330BE">
        <w:rPr>
          <w:rFonts w:cs="Lotus Linotype"/>
          <w:color w:val="000000"/>
          <w:spacing w:val="-4"/>
          <w:sz w:val="40"/>
          <w:szCs w:val="32"/>
          <w:rtl/>
        </w:rPr>
        <w:t>«</w:t>
      </w:r>
      <w:r w:rsidRPr="00BA409D">
        <w:rPr>
          <w:rFonts w:cs="Lotus Linotype"/>
          <w:b/>
          <w:bCs/>
          <w:color w:val="222222"/>
          <w:szCs w:val="28"/>
          <w:rtl/>
        </w:rPr>
        <w:t>وَمَنْ كَانَ يُؤْمِنُ بِاللَّهِ وَالْيَوْمِ الْآخِرِ فَلَا يَجْلِسْ عَلَى مَائِدَةٍ يُدَارُ عَلَيْهَا الْخَمْرُ</w:t>
      </w:r>
      <w:r w:rsidRPr="00B905DE">
        <w:rPr>
          <w:rFonts w:cs="Lotus Linotype"/>
          <w:color w:val="000000"/>
          <w:spacing w:val="-4"/>
          <w:sz w:val="40"/>
          <w:szCs w:val="32"/>
          <w:rtl/>
        </w:rPr>
        <w:t>»</w:t>
      </w:r>
      <w:r w:rsidRPr="00394A4E">
        <w:rPr>
          <w:color w:val="222222"/>
          <w:position w:val="4"/>
          <w:szCs w:val="34"/>
          <w:vertAlign w:val="superscript"/>
          <w:rtl/>
        </w:rPr>
        <w:t>(</w:t>
      </w:r>
      <w:r w:rsidRPr="00394A4E">
        <w:rPr>
          <w:color w:val="222222"/>
          <w:position w:val="4"/>
          <w:szCs w:val="34"/>
          <w:vertAlign w:val="superscript"/>
          <w:rtl/>
        </w:rPr>
        <w:footnoteReference w:id="28"/>
      </w:r>
      <w:r w:rsidRPr="00394A4E">
        <w:rPr>
          <w:color w:val="222222"/>
          <w:position w:val="4"/>
          <w:szCs w:val="34"/>
          <w:vertAlign w:val="superscript"/>
          <w:rtl/>
        </w:rPr>
        <w:t>)</w:t>
      </w:r>
      <w:r w:rsidRPr="00BA409D">
        <w:rPr>
          <w:rFonts w:cs="Lotus Linotype"/>
          <w:color w:val="222222"/>
          <w:szCs w:val="28"/>
          <w:rtl/>
        </w:rPr>
        <w:t xml:space="preserve"> وقد يقال إن شرب الخمر في هذه المحافل والمناشط يكون بقدر لا يحصل معه السكر بخلاف ما كان عليه الحال في زمنهﷺ، وكذلك فإن هناك فرقا بين موائد اليوم التي تتسع أحيانا لخمسين جليسًا لا يكلم بعضهم بعضًا والموائد في زمانهﷺ والتي لم يكن متصورًا ألا يكون هناك تواصل بين جلسائها. ورغم الفرق بين تلك الأحوال، لكن المرء لا يطمئن لمثل هذه التأويلات، والأصل هو أن ينفر المسلم من الخمر وشاربيها وقت شربهم لها، بل ينبغي عليه، عند القدرة، أن يبين أسباب امتناعه عن الجلوس على موائدها، ولعل في هذا سبيلا حسنا إلى دعوة الناس والتأكيد على أن المسلم يحب لهم ما يحب لنفسه، وقد ورد في المسند قولهﷺ: </w:t>
      </w:r>
      <w:r w:rsidRPr="00D330BE">
        <w:rPr>
          <w:rFonts w:cs="Lotus Linotype"/>
          <w:color w:val="000000"/>
          <w:spacing w:val="-4"/>
          <w:sz w:val="40"/>
          <w:szCs w:val="32"/>
          <w:rtl/>
        </w:rPr>
        <w:t>«</w:t>
      </w:r>
      <w:r w:rsidRPr="00BA409D">
        <w:rPr>
          <w:rFonts w:cs="Lotus Linotype"/>
          <w:b/>
          <w:bCs/>
          <w:color w:val="222222"/>
          <w:szCs w:val="28"/>
          <w:rtl/>
        </w:rPr>
        <w:t>لا يَبْلُغُ الْعَبْدُ حَقِيقَةَ الإِيمَانِ حَتَّى يُحِبَّ لِلنَّاسِ مَا يُحِبُّ لِنَفْسِهِ</w:t>
      </w:r>
      <w:r w:rsidRPr="00BA409D">
        <w:rPr>
          <w:rFonts w:cs="Lotus Linotype"/>
          <w:color w:val="222222"/>
          <w:szCs w:val="28"/>
          <w:rtl/>
        </w:rPr>
        <w:t>.</w:t>
      </w:r>
      <w:r w:rsidRPr="00B905DE">
        <w:rPr>
          <w:rFonts w:cs="Lotus Linotype"/>
          <w:color w:val="000000"/>
          <w:spacing w:val="-4"/>
          <w:sz w:val="40"/>
          <w:szCs w:val="32"/>
          <w:rtl/>
        </w:rPr>
        <w:t>»</w:t>
      </w:r>
      <w:r w:rsidRPr="00BA409D">
        <w:rPr>
          <w:rFonts w:cs="Lotus Linotype"/>
          <w:color w:val="222222"/>
          <w:szCs w:val="28"/>
          <w:rtl/>
        </w:rPr>
        <w:t xml:space="preserve"> بقي أن هناك فرقًا بين الأكيل والشريب</w:t>
      </w:r>
      <w:r w:rsidRPr="00394A4E">
        <w:rPr>
          <w:color w:val="222222"/>
          <w:position w:val="4"/>
          <w:szCs w:val="34"/>
          <w:vertAlign w:val="superscript"/>
          <w:rtl/>
        </w:rPr>
        <w:t>(</w:t>
      </w:r>
      <w:r w:rsidRPr="00394A4E">
        <w:rPr>
          <w:color w:val="222222"/>
          <w:position w:val="4"/>
          <w:szCs w:val="34"/>
          <w:vertAlign w:val="superscript"/>
          <w:rtl/>
        </w:rPr>
        <w:footnoteReference w:id="29"/>
      </w:r>
      <w:r w:rsidRPr="00394A4E">
        <w:rPr>
          <w:color w:val="222222"/>
          <w:position w:val="4"/>
          <w:szCs w:val="34"/>
          <w:vertAlign w:val="superscript"/>
          <w:rtl/>
        </w:rPr>
        <w:t>)</w:t>
      </w:r>
      <w:r w:rsidRPr="00BA409D">
        <w:rPr>
          <w:rFonts w:cs="Lotus Linotype"/>
          <w:color w:val="222222"/>
          <w:szCs w:val="28"/>
          <w:rtl/>
        </w:rPr>
        <w:t xml:space="preserve">الذي يجالس أصحاب المنكرات حبًا لصحبتهم ومسارعة فيهم أو حبًا لما هم عليه من المنكرات والآخر الذي يعوزه إلى الجلوس معهم أحيانًا حاجة الدعوة أو التأليف أو قضاء مصالح المسلمين أو غير ذلك من النوايا الحسنة، فلعل الثاني أولى بعفو الله عنه. </w:t>
      </w:r>
    </w:p>
    <w:p w:rsidR="00A41217" w:rsidRPr="00BA409D" w:rsidRDefault="00A41217" w:rsidP="00AF56B1">
      <w:pPr>
        <w:pStyle w:val="NoSpacing"/>
        <w:widowControl w:val="0"/>
        <w:spacing w:before="180" w:line="216" w:lineRule="auto"/>
        <w:ind w:firstLine="425"/>
        <w:jc w:val="both"/>
        <w:rPr>
          <w:rFonts w:cs="Lotus Linotype"/>
          <w:szCs w:val="28"/>
          <w:rtl/>
        </w:rPr>
      </w:pPr>
      <w:r w:rsidRPr="00BA409D">
        <w:rPr>
          <w:rFonts w:cs="Lotus Linotype"/>
          <w:szCs w:val="28"/>
          <w:rtl/>
        </w:rPr>
        <w:t xml:space="preserve">إنه لو استطاع المسلمون استبعاد الخمر من هذه المناشط المشتركة دون التسبب في تنفير المخالفين، فعليهم فعل ذلك، فإذا لم </w:t>
      </w:r>
      <w:r w:rsidRPr="00BA409D">
        <w:rPr>
          <w:rFonts w:cs="Lotus Linotype"/>
          <w:color w:val="222222"/>
          <w:szCs w:val="28"/>
          <w:rtl/>
        </w:rPr>
        <w:t>يتيسر</w:t>
      </w:r>
      <w:r w:rsidRPr="00BA409D">
        <w:rPr>
          <w:rFonts w:cs="Lotus Linotype"/>
          <w:szCs w:val="28"/>
          <w:rtl/>
        </w:rPr>
        <w:t xml:space="preserve"> ورأوا المصلحة في حضور هذه المحافل، فليجتنبوا الخمر ما استطاعوا، وليحرصوا على اجتناب موائدها، فإذا كان في ترك المائدة ما يسبب الحرج الشديد، فلينكر ما يراه بقلبه وليحرص على مفارقة تلك المائدة متى تيسر له، وإن طاف في أرجاء القاعة أو تعلل بقضاء الحاجة أو الجواب على الهاتف أو غير ذلك حتى يكف الناس عن تعاطي الشراب المحرم. </w:t>
      </w:r>
    </w:p>
    <w:p w:rsidR="00A41217" w:rsidRPr="007F54F8" w:rsidRDefault="00A41217" w:rsidP="007F54F8">
      <w:pPr>
        <w:pStyle w:val="Heading2"/>
        <w:spacing w:before="360"/>
        <w:jc w:val="center"/>
        <w:rPr>
          <w:rFonts w:cs="الحوكمي عنوان2"/>
          <w:b w:val="0"/>
          <w:bCs w:val="0"/>
          <w:sz w:val="38"/>
          <w:szCs w:val="38"/>
          <w:u w:val="none"/>
          <w:rtl/>
        </w:rPr>
      </w:pPr>
      <w:bookmarkStart w:id="18" w:name="_Toc444382234"/>
      <w:r w:rsidRPr="007F54F8">
        <w:rPr>
          <w:rFonts w:cs="الحوكمي عنوان2"/>
          <w:b w:val="0"/>
          <w:bCs w:val="0"/>
          <w:sz w:val="38"/>
          <w:szCs w:val="38"/>
          <w:u w:val="none"/>
          <w:rtl/>
        </w:rPr>
        <w:lastRenderedPageBreak/>
        <w:t>مصافحة المرأة الأجنبية</w:t>
      </w:r>
      <w:bookmarkEnd w:id="18"/>
    </w:p>
    <w:p w:rsidR="00A41217" w:rsidRPr="00AF56B1" w:rsidRDefault="00A41217" w:rsidP="00AF56B1">
      <w:pPr>
        <w:pStyle w:val="Heading2"/>
        <w:keepNext w:val="0"/>
        <w:keepLines w:val="0"/>
        <w:widowControl w:val="0"/>
        <w:spacing w:before="240" w:line="216" w:lineRule="auto"/>
        <w:rPr>
          <w:rFonts w:cs="الحوكمي عنوان2"/>
          <w:b w:val="0"/>
          <w:bCs w:val="0"/>
          <w:sz w:val="28"/>
          <w:szCs w:val="28"/>
          <w:rtl/>
        </w:rPr>
      </w:pPr>
      <w:bookmarkStart w:id="19" w:name="_Toc444382235"/>
      <w:r w:rsidRPr="00AF56B1">
        <w:rPr>
          <w:rFonts w:cs="الحوكمي عنوان2"/>
          <w:b w:val="0"/>
          <w:bCs w:val="0"/>
          <w:sz w:val="28"/>
          <w:szCs w:val="28"/>
          <w:rtl/>
        </w:rPr>
        <w:t>مصافحة المرأة الأجنبية لمنع الحرج:</w:t>
      </w:r>
      <w:bookmarkEnd w:id="19"/>
    </w:p>
    <w:p w:rsidR="00A41217" w:rsidRPr="00BA409D" w:rsidRDefault="00A41217" w:rsidP="00AF56B1">
      <w:pPr>
        <w:pStyle w:val="NoSpacing"/>
        <w:widowControl w:val="0"/>
        <w:spacing w:before="180" w:line="216" w:lineRule="auto"/>
        <w:ind w:firstLine="425"/>
        <w:jc w:val="both"/>
        <w:rPr>
          <w:rFonts w:cs="Lotus Linotype"/>
          <w:b/>
          <w:szCs w:val="28"/>
          <w:rtl/>
        </w:rPr>
      </w:pPr>
      <w:r w:rsidRPr="00BA409D">
        <w:rPr>
          <w:rFonts w:cs="Lotus Linotype"/>
          <w:b/>
          <w:szCs w:val="28"/>
          <w:rtl/>
        </w:rPr>
        <w:t>إن القول المعتمد في المذاهب الأربعة بشأن حكم مصافحة المرأة الأجنبية الشابة (غير العجوز) هو التحريم.</w:t>
      </w:r>
      <w:r w:rsidRPr="00394A4E">
        <w:rPr>
          <w:position w:val="4"/>
          <w:szCs w:val="34"/>
          <w:vertAlign w:val="superscript"/>
          <w:rtl/>
        </w:rPr>
        <w:t>(</w:t>
      </w:r>
      <w:r w:rsidRPr="00394A4E">
        <w:rPr>
          <w:position w:val="4"/>
          <w:szCs w:val="34"/>
          <w:vertAlign w:val="superscript"/>
          <w:rtl/>
        </w:rPr>
        <w:footnoteReference w:id="30"/>
      </w:r>
      <w:r w:rsidRPr="00394A4E">
        <w:rPr>
          <w:position w:val="4"/>
          <w:szCs w:val="34"/>
          <w:vertAlign w:val="superscript"/>
          <w:rtl/>
        </w:rPr>
        <w:t>)</w:t>
      </w:r>
      <w:r w:rsidRPr="00BA409D">
        <w:rPr>
          <w:rFonts w:cs="Lotus Linotype"/>
          <w:b/>
          <w:szCs w:val="28"/>
          <w:rtl/>
        </w:rPr>
        <w:t xml:space="preserve"> وقد أذن الحنفية في </w:t>
      </w:r>
      <w:r w:rsidRPr="00BA409D">
        <w:rPr>
          <w:rFonts w:cs="Lotus Linotype"/>
          <w:color w:val="222222"/>
          <w:szCs w:val="28"/>
          <w:rtl/>
        </w:rPr>
        <w:t>مصافحة</w:t>
      </w:r>
      <w:r w:rsidRPr="00BA409D">
        <w:rPr>
          <w:rFonts w:cs="Lotus Linotype"/>
          <w:b/>
          <w:szCs w:val="28"/>
          <w:rtl/>
        </w:rPr>
        <w:t xml:space="preserve"> الشيخ للشابة والشاب للعجوز في رواية وفي الأخرى يؤذن فقط للشيخ والشيخة أن يتصافحا،</w:t>
      </w:r>
      <w:r w:rsidRPr="00394A4E">
        <w:rPr>
          <w:position w:val="4"/>
          <w:szCs w:val="34"/>
          <w:vertAlign w:val="superscript"/>
          <w:rtl/>
        </w:rPr>
        <w:t>(</w:t>
      </w:r>
      <w:r w:rsidRPr="00394A4E">
        <w:rPr>
          <w:position w:val="4"/>
          <w:szCs w:val="34"/>
          <w:vertAlign w:val="superscript"/>
          <w:rtl/>
        </w:rPr>
        <w:footnoteReference w:id="31"/>
      </w:r>
      <w:r w:rsidRPr="00394A4E">
        <w:rPr>
          <w:position w:val="4"/>
          <w:szCs w:val="34"/>
          <w:vertAlign w:val="superscript"/>
          <w:rtl/>
        </w:rPr>
        <w:t>)</w:t>
      </w:r>
      <w:r w:rsidRPr="00BA409D">
        <w:rPr>
          <w:rFonts w:cs="Lotus Linotype"/>
          <w:b/>
          <w:szCs w:val="28"/>
          <w:rtl/>
        </w:rPr>
        <w:t xml:space="preserve"> وأذن الحنابلة في مصافحة المرأة العجوز، ونهى عنه المالكية، وسكت الشافعية، فيفهم منعهم له لدخولها في عموم النساء، إلا أن الشافعية أذنوا في المصافحة من وراء حائل.</w:t>
      </w:r>
      <w:r w:rsidRPr="00394A4E">
        <w:rPr>
          <w:position w:val="4"/>
          <w:szCs w:val="34"/>
          <w:vertAlign w:val="superscript"/>
          <w:rtl/>
        </w:rPr>
        <w:t>(</w:t>
      </w:r>
      <w:r w:rsidRPr="00394A4E">
        <w:rPr>
          <w:position w:val="4"/>
          <w:szCs w:val="34"/>
          <w:vertAlign w:val="superscript"/>
          <w:rtl/>
        </w:rPr>
        <w:footnoteReference w:id="32"/>
      </w:r>
      <w:r w:rsidRPr="00394A4E">
        <w:rPr>
          <w:position w:val="4"/>
          <w:szCs w:val="34"/>
          <w:vertAlign w:val="superscript"/>
          <w:rtl/>
        </w:rPr>
        <w:t>)</w:t>
      </w:r>
      <w:r w:rsidRPr="00BA409D">
        <w:rPr>
          <w:rFonts w:cs="Lotus Linotype"/>
          <w:b/>
          <w:szCs w:val="28"/>
          <w:rtl/>
        </w:rPr>
        <w:t xml:space="preserve"> وهناك رواية عند الحنابلة بالكراهة، ولكن محققي المذهب كابن تيمية وغيره رجحوا التحريم لأن قول أحمد </w:t>
      </w:r>
      <w:r w:rsidRPr="00D330BE">
        <w:rPr>
          <w:rFonts w:cs="Lotus Linotype"/>
          <w:color w:val="000000"/>
          <w:spacing w:val="-4"/>
          <w:sz w:val="40"/>
          <w:szCs w:val="32"/>
          <w:rtl/>
        </w:rPr>
        <w:t>«</w:t>
      </w:r>
      <w:r w:rsidRPr="00BA409D">
        <w:rPr>
          <w:rFonts w:cs="Lotus Linotype"/>
          <w:b/>
          <w:szCs w:val="28"/>
          <w:rtl/>
        </w:rPr>
        <w:t>أكرهه</w:t>
      </w:r>
      <w:r w:rsidRPr="00B905DE">
        <w:rPr>
          <w:rFonts w:cs="Lotus Linotype"/>
          <w:b/>
          <w:color w:val="000000"/>
          <w:spacing w:val="-4"/>
          <w:sz w:val="40"/>
          <w:szCs w:val="32"/>
          <w:rtl/>
        </w:rPr>
        <w:t>»</w:t>
      </w:r>
      <w:r w:rsidRPr="00BA409D">
        <w:rPr>
          <w:rFonts w:cs="Lotus Linotype"/>
          <w:b/>
          <w:szCs w:val="28"/>
          <w:rtl/>
        </w:rPr>
        <w:t xml:space="preserve"> متردد بينهما فلا بد من ترجيح أحدهما بقرينة، وقد ظهر تشديده في الأمر حتى مع المحارم.</w:t>
      </w:r>
      <w:r w:rsidRPr="00394A4E">
        <w:rPr>
          <w:position w:val="4"/>
          <w:szCs w:val="34"/>
          <w:vertAlign w:val="superscript"/>
          <w:rtl/>
        </w:rPr>
        <w:t>(</w:t>
      </w:r>
      <w:r w:rsidRPr="00394A4E">
        <w:rPr>
          <w:position w:val="4"/>
          <w:szCs w:val="34"/>
          <w:vertAlign w:val="superscript"/>
          <w:rtl/>
        </w:rPr>
        <w:footnoteReference w:id="33"/>
      </w:r>
      <w:r w:rsidRPr="00394A4E">
        <w:rPr>
          <w:position w:val="4"/>
          <w:szCs w:val="34"/>
          <w:vertAlign w:val="superscript"/>
          <w:rtl/>
        </w:rPr>
        <w:t>)</w:t>
      </w:r>
      <w:r w:rsidRPr="00BA409D">
        <w:rPr>
          <w:rFonts w:cs="Lotus Linotype"/>
          <w:b/>
          <w:szCs w:val="28"/>
          <w:rtl/>
        </w:rPr>
        <w:t xml:space="preserve"> أما المجيزون فهم من العلماء المعاصرين، ولا يعرف من المتقدمين من </w:t>
      </w:r>
      <w:r w:rsidRPr="00BA409D">
        <w:rPr>
          <w:rFonts w:cs="Lotus Linotype"/>
          <w:color w:val="222222"/>
          <w:szCs w:val="28"/>
          <w:rtl/>
        </w:rPr>
        <w:t>صرح</w:t>
      </w:r>
      <w:r w:rsidRPr="00BA409D">
        <w:rPr>
          <w:rFonts w:cs="Lotus Linotype"/>
          <w:b/>
          <w:szCs w:val="28"/>
          <w:rtl/>
        </w:rPr>
        <w:t xml:space="preserve"> بالجواز. </w:t>
      </w:r>
    </w:p>
    <w:p w:rsidR="00A41217" w:rsidRPr="00AF56B1" w:rsidRDefault="00A41217" w:rsidP="00AF56B1">
      <w:pPr>
        <w:pStyle w:val="Heading2"/>
        <w:keepNext w:val="0"/>
        <w:keepLines w:val="0"/>
        <w:widowControl w:val="0"/>
        <w:spacing w:before="240" w:line="216" w:lineRule="auto"/>
        <w:rPr>
          <w:rFonts w:cs="الحوكمي عنوان2"/>
          <w:b w:val="0"/>
          <w:bCs w:val="0"/>
          <w:sz w:val="28"/>
          <w:szCs w:val="28"/>
          <w:rtl/>
        </w:rPr>
      </w:pPr>
      <w:bookmarkStart w:id="20" w:name="_Toc444382236"/>
      <w:r w:rsidRPr="00AF56B1">
        <w:rPr>
          <w:rFonts w:cs="الحوكمي عنوان2"/>
          <w:b w:val="0"/>
          <w:bCs w:val="0"/>
          <w:sz w:val="28"/>
          <w:szCs w:val="28"/>
          <w:rtl/>
        </w:rPr>
        <w:t>دليل المنع من المصافحة:</w:t>
      </w:r>
      <w:bookmarkEnd w:id="20"/>
    </w:p>
    <w:p w:rsidR="00A41217" w:rsidRPr="00BA409D" w:rsidRDefault="00A41217" w:rsidP="00DB08BD">
      <w:pPr>
        <w:pStyle w:val="NoSpacing"/>
        <w:widowControl w:val="0"/>
        <w:numPr>
          <w:ilvl w:val="0"/>
          <w:numId w:val="16"/>
        </w:numPr>
        <w:tabs>
          <w:tab w:val="clear" w:pos="1440"/>
          <w:tab w:val="num" w:pos="614"/>
        </w:tabs>
        <w:spacing w:line="216" w:lineRule="auto"/>
        <w:ind w:left="612" w:hanging="612"/>
        <w:jc w:val="lowKashida"/>
        <w:rPr>
          <w:rFonts w:cs="Lotus Linotype"/>
          <w:b/>
          <w:szCs w:val="28"/>
          <w:rtl/>
        </w:rPr>
      </w:pPr>
      <w:r w:rsidRPr="00BA409D">
        <w:rPr>
          <w:rFonts w:cs="Lotus Linotype"/>
          <w:b/>
          <w:szCs w:val="28"/>
          <w:rtl/>
        </w:rPr>
        <w:t xml:space="preserve">ما روي من عدم مصافحته للنساء في البيعة، مع وجود المقتضي، ففي الصحيحين عن عائشة - رضي الله عنها: </w:t>
      </w:r>
      <w:r w:rsidRPr="00D330BE">
        <w:rPr>
          <w:rFonts w:cs="Lotus Linotype"/>
          <w:color w:val="000000"/>
          <w:spacing w:val="-4"/>
          <w:sz w:val="40"/>
          <w:szCs w:val="32"/>
          <w:rtl/>
        </w:rPr>
        <w:t>«</w:t>
      </w:r>
      <w:r w:rsidRPr="00BA409D">
        <w:rPr>
          <w:rFonts w:cs="Lotus Linotype"/>
          <w:b/>
          <w:szCs w:val="28"/>
          <w:rtl/>
        </w:rPr>
        <w:t xml:space="preserve">كَانَ النَّبِيُّﷺ يُبَايِعُ النِّسَاءَ بِالْكَلَامِ بِهَذِهِ الْآيَةِ </w:t>
      </w:r>
      <w:r w:rsidRPr="00AF56B1">
        <w:rPr>
          <w:rFonts w:ascii="QCF_BSML" w:hAnsi="QCF_BSML" w:cs="QCF_BSML"/>
          <w:color w:val="000000"/>
          <w:sz w:val="30"/>
          <w:szCs w:val="30"/>
          <w:rtl/>
        </w:rPr>
        <w:t xml:space="preserve">ﮋ </w:t>
      </w:r>
      <w:r w:rsidRPr="00AF56B1">
        <w:rPr>
          <w:rFonts w:ascii="QCF_P551" w:hAnsi="QCF_P551" w:cs="QCF_P551"/>
          <w:color w:val="000000"/>
          <w:sz w:val="30"/>
          <w:szCs w:val="30"/>
          <w:rtl/>
        </w:rPr>
        <w:t xml:space="preserve">ﭙ  ﭚ   ﭛ ﭜ </w:t>
      </w:r>
      <w:r w:rsidRPr="00AF56B1">
        <w:rPr>
          <w:rFonts w:ascii="QCF_BSML" w:hAnsi="QCF_BSML" w:cs="QCF_BSML"/>
          <w:color w:val="000000"/>
          <w:sz w:val="30"/>
          <w:szCs w:val="30"/>
          <w:rtl/>
        </w:rPr>
        <w:t>ﮊ</w:t>
      </w:r>
      <w:r>
        <w:rPr>
          <w:rFonts w:ascii="Arial" w:hAnsi="Arial"/>
          <w:color w:val="000000"/>
          <w:sz w:val="2"/>
          <w:szCs w:val="2"/>
        </w:rPr>
        <w:t xml:space="preserve"> </w:t>
      </w:r>
      <w:r w:rsidRPr="00BA409D">
        <w:rPr>
          <w:rFonts w:cs="Lotus Linotype"/>
          <w:b/>
          <w:szCs w:val="28"/>
          <w:rtl/>
        </w:rPr>
        <w:t>قَالَتْ وَمَا مَسَّتْ يَدُ رَسُولِ اللَّهِﷺ يَدَ امْرَأَةٍ إِلَّا امْرَأَةً يَمْلِكُهَا</w:t>
      </w:r>
      <w:r w:rsidRPr="00B905DE">
        <w:rPr>
          <w:rFonts w:cs="Lotus Linotype"/>
          <w:b/>
          <w:color w:val="000000"/>
          <w:spacing w:val="-4"/>
          <w:sz w:val="40"/>
          <w:szCs w:val="32"/>
          <w:rtl/>
        </w:rPr>
        <w:t>»</w:t>
      </w:r>
      <w:r w:rsidRPr="00BA409D">
        <w:rPr>
          <w:rFonts w:cs="Lotus Linotype"/>
          <w:b/>
          <w:szCs w:val="28"/>
          <w:rtl/>
        </w:rPr>
        <w:t xml:space="preserve"> وقد قالﷺ: </w:t>
      </w:r>
      <w:r w:rsidRPr="00AF56B1">
        <w:rPr>
          <w:rFonts w:cs="Lotus Linotype"/>
          <w:b/>
          <w:bCs/>
          <w:color w:val="000000"/>
          <w:spacing w:val="-4"/>
          <w:sz w:val="40"/>
          <w:szCs w:val="32"/>
          <w:rtl/>
        </w:rPr>
        <w:t>«</w:t>
      </w:r>
      <w:r w:rsidRPr="00BA409D">
        <w:rPr>
          <w:rFonts w:cs="Lotus Linotype"/>
          <w:b/>
          <w:bCs/>
          <w:szCs w:val="28"/>
          <w:rtl/>
        </w:rPr>
        <w:t>إِنِّي لَا أُصَافِحُ النِّسَاءَ، إِنَّمَا قَوْلِي لِمِائَةِ امْرَأَةٍ، كَقَوْلِي لِامْرَأَةٍ وَاحِدَةٍ</w:t>
      </w:r>
      <w:r w:rsidRPr="00B905DE">
        <w:rPr>
          <w:rFonts w:cs="Lotus Linotype"/>
          <w:b/>
          <w:color w:val="000000"/>
          <w:spacing w:val="-4"/>
          <w:sz w:val="40"/>
          <w:szCs w:val="32"/>
          <w:rtl/>
        </w:rPr>
        <w:t>»</w:t>
      </w:r>
      <w:r w:rsidRPr="00394A4E">
        <w:rPr>
          <w:position w:val="4"/>
          <w:szCs w:val="34"/>
          <w:vertAlign w:val="superscript"/>
          <w:rtl/>
        </w:rPr>
        <w:t>(</w:t>
      </w:r>
      <w:r w:rsidRPr="00394A4E">
        <w:rPr>
          <w:position w:val="4"/>
          <w:szCs w:val="34"/>
          <w:vertAlign w:val="superscript"/>
          <w:rtl/>
        </w:rPr>
        <w:footnoteReference w:id="34"/>
      </w:r>
      <w:r w:rsidRPr="00394A4E">
        <w:rPr>
          <w:position w:val="4"/>
          <w:szCs w:val="34"/>
          <w:vertAlign w:val="superscript"/>
          <w:rtl/>
        </w:rPr>
        <w:t>)</w:t>
      </w:r>
    </w:p>
    <w:p w:rsidR="00A41217" w:rsidRPr="00BA409D" w:rsidRDefault="00A41217" w:rsidP="00DB08BD">
      <w:pPr>
        <w:pStyle w:val="NoSpacing"/>
        <w:widowControl w:val="0"/>
        <w:numPr>
          <w:ilvl w:val="0"/>
          <w:numId w:val="16"/>
        </w:numPr>
        <w:tabs>
          <w:tab w:val="clear" w:pos="1440"/>
          <w:tab w:val="num" w:pos="614"/>
        </w:tabs>
        <w:spacing w:line="216" w:lineRule="auto"/>
        <w:ind w:left="612" w:hanging="612"/>
        <w:jc w:val="lowKashida"/>
        <w:rPr>
          <w:rFonts w:cs="Lotus Linotype"/>
          <w:szCs w:val="28"/>
          <w:rtl/>
          <w:lang w:bidi="ar-SA"/>
        </w:rPr>
      </w:pPr>
      <w:r w:rsidRPr="00BA409D">
        <w:rPr>
          <w:rFonts w:cs="Lotus Linotype"/>
          <w:b/>
          <w:szCs w:val="28"/>
          <w:rtl/>
        </w:rPr>
        <w:t xml:space="preserve">ما رواه الطبراني عن معقل بن يسار أن رسول اللهﷺ قال: </w:t>
      </w:r>
      <w:r w:rsidRPr="00D330BE">
        <w:rPr>
          <w:rFonts w:cs="Lotus Linotype"/>
          <w:color w:val="000000"/>
          <w:spacing w:val="-4"/>
          <w:sz w:val="40"/>
          <w:szCs w:val="32"/>
          <w:rtl/>
        </w:rPr>
        <w:t>«</w:t>
      </w:r>
      <w:r w:rsidRPr="00BA409D">
        <w:rPr>
          <w:rFonts w:cs="Lotus Linotype"/>
          <w:b/>
          <w:bCs/>
          <w:szCs w:val="28"/>
          <w:rtl/>
        </w:rPr>
        <w:t>لَأَنْ يُطْعَنَ فِي رَأْسِ رَجُلٍ بِمِخْيَطٍ مِنْ حَدِيدٍ خَيْرٌ لَهُ مِنْ أَنْ يَمَسَّ امْرَأَةً لَا تَحِلُّ لَهُ</w:t>
      </w:r>
      <w:r w:rsidRPr="00B905DE">
        <w:rPr>
          <w:rFonts w:cs="Lotus Linotype"/>
          <w:color w:val="000000"/>
          <w:spacing w:val="-4"/>
          <w:sz w:val="40"/>
          <w:szCs w:val="32"/>
          <w:rtl/>
        </w:rPr>
        <w:t>»</w:t>
      </w:r>
      <w:r w:rsidRPr="00394A4E">
        <w:rPr>
          <w:position w:val="4"/>
          <w:szCs w:val="34"/>
          <w:vertAlign w:val="superscript"/>
          <w:rtl/>
        </w:rPr>
        <w:t>(</w:t>
      </w:r>
      <w:r w:rsidRPr="00394A4E">
        <w:rPr>
          <w:position w:val="4"/>
          <w:szCs w:val="34"/>
          <w:vertAlign w:val="superscript"/>
          <w:rtl/>
        </w:rPr>
        <w:footnoteReference w:id="35"/>
      </w:r>
      <w:r w:rsidRPr="00394A4E">
        <w:rPr>
          <w:position w:val="4"/>
          <w:szCs w:val="34"/>
          <w:vertAlign w:val="superscript"/>
          <w:rtl/>
        </w:rPr>
        <w:t>)</w:t>
      </w:r>
    </w:p>
    <w:p w:rsidR="00A41217" w:rsidRPr="00BA409D" w:rsidRDefault="00A41217" w:rsidP="00DB08BD">
      <w:pPr>
        <w:pStyle w:val="NoSpacing"/>
        <w:widowControl w:val="0"/>
        <w:numPr>
          <w:ilvl w:val="0"/>
          <w:numId w:val="16"/>
        </w:numPr>
        <w:tabs>
          <w:tab w:val="clear" w:pos="1440"/>
          <w:tab w:val="num" w:pos="614"/>
        </w:tabs>
        <w:spacing w:line="216" w:lineRule="auto"/>
        <w:ind w:left="612" w:hanging="612"/>
        <w:jc w:val="lowKashida"/>
        <w:rPr>
          <w:rFonts w:cs="Lotus Linotype"/>
          <w:b/>
          <w:szCs w:val="28"/>
          <w:rtl/>
        </w:rPr>
      </w:pPr>
      <w:r w:rsidRPr="00BA409D">
        <w:rPr>
          <w:rFonts w:cs="Lotus Linotype"/>
          <w:b/>
          <w:szCs w:val="28"/>
          <w:rtl/>
        </w:rPr>
        <w:lastRenderedPageBreak/>
        <w:t>لقد قال جماعة من أهل العلم بعدم جواز النظر لوجه ويدي الأجنبية ووجوب غض البصر عن جميع بدنها، سواء بشهوة أو بغيرها، وهو ظاهر مذهب أحمد وقول مالك.</w:t>
      </w:r>
      <w:r w:rsidRPr="00394A4E">
        <w:rPr>
          <w:position w:val="4"/>
          <w:szCs w:val="34"/>
          <w:vertAlign w:val="superscript"/>
          <w:rtl/>
        </w:rPr>
        <w:t>(</w:t>
      </w:r>
      <w:r w:rsidRPr="00394A4E">
        <w:rPr>
          <w:position w:val="4"/>
          <w:szCs w:val="34"/>
          <w:vertAlign w:val="superscript"/>
          <w:rtl/>
        </w:rPr>
        <w:footnoteReference w:id="36"/>
      </w:r>
      <w:r w:rsidRPr="00394A4E">
        <w:rPr>
          <w:position w:val="4"/>
          <w:szCs w:val="34"/>
          <w:vertAlign w:val="superscript"/>
          <w:rtl/>
        </w:rPr>
        <w:t>)</w:t>
      </w:r>
      <w:r w:rsidRPr="00BA409D">
        <w:rPr>
          <w:rFonts w:cs="Lotus Linotype"/>
          <w:b/>
          <w:szCs w:val="28"/>
          <w:rtl/>
        </w:rPr>
        <w:t xml:space="preserve"> فلهؤلاء يستدل على تحريم اللمس بقياس الأولى، فإنه شر من النظر بلا شك. </w:t>
      </w:r>
    </w:p>
    <w:p w:rsidR="00A41217" w:rsidRPr="00BA409D" w:rsidRDefault="00A41217" w:rsidP="00DB08BD">
      <w:pPr>
        <w:pStyle w:val="NoSpacing"/>
        <w:widowControl w:val="0"/>
        <w:numPr>
          <w:ilvl w:val="0"/>
          <w:numId w:val="16"/>
        </w:numPr>
        <w:tabs>
          <w:tab w:val="clear" w:pos="1440"/>
          <w:tab w:val="num" w:pos="614"/>
        </w:tabs>
        <w:spacing w:line="216" w:lineRule="auto"/>
        <w:ind w:left="612" w:hanging="612"/>
        <w:jc w:val="lowKashida"/>
        <w:rPr>
          <w:rFonts w:cs="Lotus Linotype"/>
          <w:b/>
          <w:szCs w:val="28"/>
          <w:rtl/>
        </w:rPr>
      </w:pPr>
      <w:r w:rsidRPr="00BA409D">
        <w:rPr>
          <w:rFonts w:cs="Lotus Linotype"/>
          <w:b/>
          <w:szCs w:val="28"/>
          <w:rtl/>
        </w:rPr>
        <w:t xml:space="preserve">إن مصافحة الأجنبية ذريعة إلى الافتتان بها، وهذا أمر لا يشكك فيه منصف فإن لمس بعض بدن المرأة لا ريب من ذرائع الافتتان بها، ولا يعني ذلك أنه كلما صافح رجل امرأة افتتن بها، ولكن يعني وجود الاحتمال، وقد احتاطت الشريعة للأعراض احتياطًا عظيمًا. إن هناك مواقع على الشبكة (باللغة الإنجليزية) تعلم الفتيان كيف يوقعون الفتيات في حبائلهم بمجرد المصافحة، فاعتبروا يا أولي الألباب. </w:t>
      </w:r>
    </w:p>
    <w:p w:rsidR="00A41217" w:rsidRPr="00BA409D" w:rsidRDefault="00A41217" w:rsidP="00DB08BD">
      <w:pPr>
        <w:pStyle w:val="NoSpacing"/>
        <w:widowControl w:val="0"/>
        <w:numPr>
          <w:ilvl w:val="0"/>
          <w:numId w:val="16"/>
        </w:numPr>
        <w:tabs>
          <w:tab w:val="clear" w:pos="1440"/>
          <w:tab w:val="num" w:pos="614"/>
        </w:tabs>
        <w:spacing w:line="216" w:lineRule="auto"/>
        <w:ind w:left="612" w:hanging="612"/>
        <w:jc w:val="lowKashida"/>
        <w:rPr>
          <w:rFonts w:cs="Lotus Linotype"/>
          <w:b/>
          <w:szCs w:val="28"/>
          <w:rtl/>
        </w:rPr>
      </w:pPr>
      <w:r w:rsidRPr="00BA409D">
        <w:rPr>
          <w:rFonts w:cs="Lotus Linotype"/>
          <w:b/>
          <w:szCs w:val="28"/>
          <w:rtl/>
        </w:rPr>
        <w:t>في شرع من قبلنا حرمة مصافحة المرأة الأجنبية، فالمتقدمون من اليهود متفقون على المنع من المصافحة، وعند معاصريهم من الأقوال مثل ما عندنا.</w:t>
      </w:r>
      <w:r w:rsidRPr="00394A4E">
        <w:rPr>
          <w:position w:val="4"/>
          <w:szCs w:val="34"/>
          <w:vertAlign w:val="superscript"/>
          <w:rtl/>
        </w:rPr>
        <w:t>(</w:t>
      </w:r>
      <w:r w:rsidRPr="00394A4E">
        <w:rPr>
          <w:position w:val="4"/>
          <w:szCs w:val="34"/>
          <w:vertAlign w:val="superscript"/>
          <w:rtl/>
        </w:rPr>
        <w:footnoteReference w:id="37"/>
      </w:r>
      <w:r w:rsidRPr="00394A4E">
        <w:rPr>
          <w:position w:val="4"/>
          <w:szCs w:val="34"/>
          <w:vertAlign w:val="superscript"/>
          <w:rtl/>
        </w:rPr>
        <w:t>)</w:t>
      </w:r>
      <w:r w:rsidRPr="00BA409D">
        <w:rPr>
          <w:rFonts w:cs="Lotus Linotype"/>
          <w:b/>
          <w:szCs w:val="28"/>
          <w:rtl/>
        </w:rPr>
        <w:t xml:space="preserve"> </w:t>
      </w:r>
    </w:p>
    <w:p w:rsidR="00A41217" w:rsidRPr="00BA409D" w:rsidRDefault="00A41217" w:rsidP="00DB08BD">
      <w:pPr>
        <w:pStyle w:val="NoSpacing"/>
        <w:widowControl w:val="0"/>
        <w:numPr>
          <w:ilvl w:val="0"/>
          <w:numId w:val="16"/>
        </w:numPr>
        <w:tabs>
          <w:tab w:val="clear" w:pos="1440"/>
          <w:tab w:val="num" w:pos="614"/>
        </w:tabs>
        <w:spacing w:line="216" w:lineRule="auto"/>
        <w:ind w:left="612" w:hanging="612"/>
        <w:jc w:val="lowKashida"/>
        <w:rPr>
          <w:rFonts w:cs="Lotus Linotype"/>
          <w:b/>
          <w:szCs w:val="28"/>
        </w:rPr>
      </w:pPr>
      <w:r w:rsidRPr="00BA409D">
        <w:rPr>
          <w:rFonts w:cs="Lotus Linotype"/>
          <w:b/>
          <w:szCs w:val="28"/>
          <w:rtl/>
        </w:rPr>
        <w:t xml:space="preserve">اتفاق المذاهب الأربعة على المنع من مصافحة الرجل غير الطاعن في السن للمرأة غير العجوز والتي يشتهى مثلها، بل لا يجد المرء أحدًا من المتقدمين قد صرح أبدًا بجواز ذلك، وقد بينت أن قول أحمد بالكراهة إنما قصد به التحريم على ما حققه أئمة المذهب. ونحن إما أن نقلد بعض المذاهب أو يختار مجتهد الترجيح من أقوال الأئمة المجتهدين الأربعة وأمثالهم (أو ما يخرج عليها) ما هو أقرب للدليل أولًا ثم أنسب للواقع ثانيًا.   </w:t>
      </w:r>
    </w:p>
    <w:p w:rsidR="00A41217" w:rsidRPr="00AF56B1" w:rsidRDefault="00A41217" w:rsidP="00AF56B1">
      <w:pPr>
        <w:pStyle w:val="Heading2"/>
        <w:keepNext w:val="0"/>
        <w:keepLines w:val="0"/>
        <w:widowControl w:val="0"/>
        <w:spacing w:before="240" w:line="216" w:lineRule="auto"/>
        <w:rPr>
          <w:rFonts w:cs="الحوكمي عنوان2"/>
          <w:b w:val="0"/>
          <w:bCs w:val="0"/>
          <w:sz w:val="28"/>
          <w:szCs w:val="28"/>
          <w:rtl/>
        </w:rPr>
      </w:pPr>
      <w:bookmarkStart w:id="21" w:name="_Toc444382237"/>
      <w:r w:rsidRPr="00AF56B1">
        <w:rPr>
          <w:rFonts w:cs="الحوكمي عنوان2"/>
          <w:b w:val="0"/>
          <w:bCs w:val="0"/>
          <w:sz w:val="28"/>
          <w:szCs w:val="28"/>
          <w:rtl/>
        </w:rPr>
        <w:t>دليل المجيزين من المعاصرين:</w:t>
      </w:r>
      <w:bookmarkEnd w:id="21"/>
    </w:p>
    <w:p w:rsidR="00A41217" w:rsidRPr="00DB08BD" w:rsidRDefault="00A41217" w:rsidP="00DB08BD">
      <w:pPr>
        <w:pStyle w:val="NoSpacing"/>
        <w:widowControl w:val="0"/>
        <w:spacing w:before="180" w:line="216" w:lineRule="auto"/>
        <w:jc w:val="both"/>
        <w:rPr>
          <w:rFonts w:cs="Lotus Linotype"/>
          <w:bCs/>
          <w:szCs w:val="28"/>
          <w:rtl/>
        </w:rPr>
      </w:pPr>
      <w:r w:rsidRPr="00DB08BD">
        <w:rPr>
          <w:rFonts w:cs="Lotus Linotype"/>
          <w:bCs/>
          <w:szCs w:val="28"/>
          <w:rtl/>
        </w:rPr>
        <w:t>أجاب المجيزون من المعاصرين على أدلة المنع بأجوبة، نذكرها عند مناقشة درجة الحكم بالتحريم وقطعيته، ثم استدلوا بالآتي:</w:t>
      </w:r>
    </w:p>
    <w:p w:rsidR="00A41217" w:rsidRPr="00DB08BD" w:rsidRDefault="00A41217" w:rsidP="00DB08BD">
      <w:pPr>
        <w:pStyle w:val="NoSpacing"/>
        <w:widowControl w:val="0"/>
        <w:numPr>
          <w:ilvl w:val="0"/>
          <w:numId w:val="18"/>
        </w:numPr>
        <w:tabs>
          <w:tab w:val="clear" w:pos="1440"/>
          <w:tab w:val="num" w:pos="614"/>
        </w:tabs>
        <w:spacing w:line="204" w:lineRule="auto"/>
        <w:ind w:left="614" w:hanging="614"/>
        <w:jc w:val="lowKashida"/>
        <w:rPr>
          <w:rFonts w:cs="Lotus Linotype"/>
          <w:b/>
          <w:spacing w:val="-4"/>
          <w:szCs w:val="28"/>
          <w:rtl/>
        </w:rPr>
      </w:pPr>
      <w:r w:rsidRPr="00DB08BD">
        <w:rPr>
          <w:rFonts w:cs="Lotus Linotype"/>
          <w:b/>
          <w:spacing w:val="-4"/>
          <w:szCs w:val="28"/>
          <w:rtl/>
        </w:rPr>
        <w:t xml:space="preserve">ما رواه البخاري عن أنس: </w:t>
      </w:r>
      <w:r w:rsidRPr="00DB08BD">
        <w:rPr>
          <w:rFonts w:cs="Lotus Linotype"/>
          <w:color w:val="000000"/>
          <w:spacing w:val="-4"/>
          <w:sz w:val="40"/>
          <w:szCs w:val="32"/>
          <w:rtl/>
        </w:rPr>
        <w:t>«</w:t>
      </w:r>
      <w:r w:rsidRPr="00DB08BD">
        <w:rPr>
          <w:rFonts w:cs="Lotus Linotype"/>
          <w:b/>
          <w:spacing w:val="-4"/>
          <w:szCs w:val="28"/>
          <w:rtl/>
        </w:rPr>
        <w:t>إِنْ كَانَتِ الأَمَةُ مِنْ إِمَاءِ أَهْلِ المَدِينَةِ، لَتَأْخُذُ بِيَدِ رَسُولِ اللَّهِ صَلَّى اللهُ عَلَيْهِ وَسَلَّمَ فَتَنْطَلِقُ بِهِ حَيْثُ شَاءَتْ</w:t>
      </w:r>
      <w:r w:rsidRPr="00DB08BD">
        <w:rPr>
          <w:rFonts w:cs="Lotus Linotype"/>
          <w:b/>
          <w:color w:val="000000"/>
          <w:spacing w:val="-4"/>
          <w:sz w:val="40"/>
          <w:szCs w:val="32"/>
          <w:rtl/>
        </w:rPr>
        <w:t>»</w:t>
      </w:r>
      <w:r w:rsidRPr="00DB08BD">
        <w:rPr>
          <w:rFonts w:cs="Lotus Linotype"/>
          <w:b/>
          <w:spacing w:val="-4"/>
          <w:szCs w:val="28"/>
          <w:rtl/>
        </w:rPr>
        <w:t xml:space="preserve"> وفي رواية أحمد وابن ماجه زيادة: </w:t>
      </w:r>
      <w:r w:rsidRPr="00DB08BD">
        <w:rPr>
          <w:rFonts w:cs="Lotus Linotype"/>
          <w:color w:val="000000"/>
          <w:spacing w:val="-4"/>
          <w:sz w:val="40"/>
          <w:szCs w:val="32"/>
          <w:rtl/>
        </w:rPr>
        <w:t>«</w:t>
      </w:r>
      <w:r w:rsidRPr="00DB08BD">
        <w:rPr>
          <w:rFonts w:cs="Lotus Linotype"/>
          <w:b/>
          <w:spacing w:val="-4"/>
          <w:szCs w:val="28"/>
          <w:rtl/>
        </w:rPr>
        <w:t>فَمَا يَنْزِعُ يَدَهُ مِنْ يَدِهَا حَتَّى تَذْهَبَ بِهِ حَيْثُ شَاءَتْ مِنَ الْمَدِينَةِ، فِي حَاجَتِهَا</w:t>
      </w:r>
      <w:r w:rsidRPr="00DB08BD">
        <w:rPr>
          <w:rFonts w:cs="Lotus Linotype"/>
          <w:b/>
          <w:color w:val="000000"/>
          <w:spacing w:val="-4"/>
          <w:sz w:val="40"/>
          <w:szCs w:val="32"/>
          <w:rtl/>
        </w:rPr>
        <w:t>»</w:t>
      </w:r>
      <w:r w:rsidRPr="00DB08BD">
        <w:rPr>
          <w:spacing w:val="-4"/>
          <w:position w:val="4"/>
          <w:szCs w:val="34"/>
          <w:vertAlign w:val="superscript"/>
          <w:rtl/>
        </w:rPr>
        <w:t>(</w:t>
      </w:r>
      <w:r w:rsidRPr="00DB08BD">
        <w:rPr>
          <w:spacing w:val="-4"/>
          <w:position w:val="4"/>
          <w:szCs w:val="34"/>
          <w:vertAlign w:val="superscript"/>
          <w:rtl/>
        </w:rPr>
        <w:footnoteReference w:id="38"/>
      </w:r>
      <w:r w:rsidRPr="00DB08BD">
        <w:rPr>
          <w:spacing w:val="-4"/>
          <w:position w:val="4"/>
          <w:szCs w:val="34"/>
          <w:vertAlign w:val="superscript"/>
          <w:rtl/>
        </w:rPr>
        <w:t>)</w:t>
      </w:r>
      <w:r w:rsidRPr="00DB08BD">
        <w:rPr>
          <w:rFonts w:cs="Lotus Linotype"/>
          <w:b/>
          <w:spacing w:val="-4"/>
          <w:szCs w:val="28"/>
          <w:rtl/>
        </w:rPr>
        <w:t xml:space="preserve"> </w:t>
      </w:r>
    </w:p>
    <w:p w:rsidR="00A41217" w:rsidRPr="00BA409D" w:rsidRDefault="00A41217" w:rsidP="00DB08BD">
      <w:pPr>
        <w:pStyle w:val="NoSpacing"/>
        <w:widowControl w:val="0"/>
        <w:spacing w:line="204" w:lineRule="auto"/>
        <w:ind w:firstLine="425"/>
        <w:jc w:val="both"/>
        <w:rPr>
          <w:rFonts w:cs="Lotus Linotype"/>
          <w:b/>
          <w:szCs w:val="28"/>
          <w:rtl/>
        </w:rPr>
      </w:pPr>
      <w:r w:rsidRPr="00BA409D">
        <w:rPr>
          <w:rFonts w:cs="Lotus Linotype"/>
          <w:b/>
          <w:szCs w:val="28"/>
          <w:rtl/>
        </w:rPr>
        <w:t xml:space="preserve">وقد قال الحافظ في الفتح إن </w:t>
      </w:r>
      <w:r w:rsidRPr="00D330BE">
        <w:rPr>
          <w:rFonts w:cs="Lotus Linotype"/>
          <w:color w:val="000000"/>
          <w:spacing w:val="-4"/>
          <w:sz w:val="40"/>
          <w:szCs w:val="32"/>
          <w:rtl/>
        </w:rPr>
        <w:t>«</w:t>
      </w:r>
      <w:r w:rsidRPr="00BA409D">
        <w:rPr>
          <w:rFonts w:cs="Lotus Linotype"/>
          <w:b/>
          <w:szCs w:val="28"/>
          <w:rtl/>
        </w:rPr>
        <w:t>المقصود من الأخذ باليد لازمه، وهو الرفق والانقياد ...</w:t>
      </w:r>
      <w:r w:rsidRPr="00B905DE">
        <w:rPr>
          <w:rFonts w:cs="Lotus Linotype"/>
          <w:b/>
          <w:color w:val="000000"/>
          <w:spacing w:val="-4"/>
          <w:sz w:val="40"/>
          <w:szCs w:val="32"/>
          <w:rtl/>
        </w:rPr>
        <w:t>»</w:t>
      </w:r>
      <w:r w:rsidRPr="00394A4E">
        <w:rPr>
          <w:position w:val="4"/>
          <w:szCs w:val="34"/>
          <w:vertAlign w:val="superscript"/>
          <w:rtl/>
        </w:rPr>
        <w:t>(</w:t>
      </w:r>
      <w:r w:rsidRPr="00394A4E">
        <w:rPr>
          <w:position w:val="4"/>
          <w:szCs w:val="34"/>
          <w:vertAlign w:val="superscript"/>
          <w:rtl/>
        </w:rPr>
        <w:footnoteReference w:id="39"/>
      </w:r>
      <w:r w:rsidRPr="00394A4E">
        <w:rPr>
          <w:position w:val="4"/>
          <w:szCs w:val="34"/>
          <w:vertAlign w:val="superscript"/>
          <w:rtl/>
        </w:rPr>
        <w:t>)</w:t>
      </w:r>
      <w:r w:rsidRPr="00BA409D">
        <w:rPr>
          <w:rFonts w:cs="Lotus Linotype"/>
          <w:b/>
          <w:szCs w:val="28"/>
          <w:rtl/>
        </w:rPr>
        <w:t xml:space="preserve">. ورد على هذا الشيخ القرضاوي فقال: </w:t>
      </w:r>
      <w:r w:rsidRPr="00D330BE">
        <w:rPr>
          <w:rFonts w:cs="Lotus Linotype"/>
          <w:color w:val="000000"/>
          <w:spacing w:val="-4"/>
          <w:sz w:val="40"/>
          <w:szCs w:val="32"/>
          <w:rtl/>
        </w:rPr>
        <w:t>«</w:t>
      </w:r>
      <w:r w:rsidRPr="00BA409D">
        <w:rPr>
          <w:rFonts w:cs="Lotus Linotype"/>
          <w:b/>
          <w:szCs w:val="28"/>
          <w:rtl/>
        </w:rPr>
        <w:t xml:space="preserve">وما ذكره الحافظ </w:t>
      </w:r>
      <w:r>
        <w:rPr>
          <w:rFonts w:cs="CTraditional Arabic"/>
          <w:b/>
          <w:rtl/>
        </w:rPr>
        <w:t>:</w:t>
      </w:r>
      <w:r w:rsidRPr="00BA409D">
        <w:rPr>
          <w:rFonts w:cs="Lotus Linotype"/>
          <w:b/>
          <w:szCs w:val="28"/>
          <w:rtl/>
        </w:rPr>
        <w:t xml:space="preserve"> مسلم في جملته، ولكن صرفه معنى الأخذ باليد عن ظاهره إلى لازمه وهو الرفق والانقياد غير مسلم؛ لأن الظاهر واللازم مرادان معًا.. والأصل في الكلام أن يحمل على ظاهره، إلا أن يوجد دليل أو قرينة </w:t>
      </w:r>
      <w:r w:rsidRPr="00BA409D">
        <w:rPr>
          <w:rFonts w:cs="Lotus Linotype"/>
          <w:b/>
          <w:szCs w:val="28"/>
          <w:rtl/>
        </w:rPr>
        <w:lastRenderedPageBreak/>
        <w:t xml:space="preserve">معينة تصرفه عن هذا الظاهر، ولا أرى هنا ما يمنع ذلك.. بل إن رواية الإمام أحمد، وفيها: </w:t>
      </w:r>
      <w:r w:rsidRPr="00D330BE">
        <w:rPr>
          <w:rFonts w:cs="Lotus Linotype"/>
          <w:color w:val="000000"/>
          <w:spacing w:val="-4"/>
          <w:sz w:val="40"/>
          <w:szCs w:val="32"/>
          <w:rtl/>
        </w:rPr>
        <w:t>«</w:t>
      </w:r>
      <w:r w:rsidRPr="00BA409D">
        <w:rPr>
          <w:rFonts w:cs="Lotus Linotype"/>
          <w:b/>
          <w:szCs w:val="28"/>
          <w:rtl/>
        </w:rPr>
        <w:t>فما ينزع يده من يدها حتى تذهب به حيث شاءت</w:t>
      </w:r>
      <w:r w:rsidRPr="00871F38">
        <w:rPr>
          <w:rFonts w:cs="Lotus Linotype"/>
          <w:b/>
          <w:color w:val="000000"/>
          <w:spacing w:val="-4"/>
          <w:sz w:val="40"/>
          <w:szCs w:val="32"/>
          <w:rtl/>
        </w:rPr>
        <w:t>»</w:t>
      </w:r>
      <w:r w:rsidRPr="00BA409D">
        <w:rPr>
          <w:rFonts w:cs="Lotus Linotype"/>
          <w:b/>
          <w:szCs w:val="28"/>
          <w:rtl/>
        </w:rPr>
        <w:t>، لتدل بوضوح على أن الظاهر هو المراد، وأن من التكلف والاعتساف الخروج عنه.</w:t>
      </w:r>
      <w:r w:rsidRPr="00871F38">
        <w:rPr>
          <w:rFonts w:cs="Lotus Linotype"/>
          <w:b/>
          <w:color w:val="000000"/>
          <w:spacing w:val="-4"/>
          <w:sz w:val="40"/>
          <w:szCs w:val="32"/>
          <w:rtl/>
        </w:rPr>
        <w:t>»</w:t>
      </w:r>
      <w:r w:rsidRPr="00394A4E">
        <w:rPr>
          <w:position w:val="4"/>
          <w:szCs w:val="34"/>
          <w:vertAlign w:val="superscript"/>
          <w:rtl/>
        </w:rPr>
        <w:t>(</w:t>
      </w:r>
      <w:r w:rsidRPr="00394A4E">
        <w:rPr>
          <w:position w:val="4"/>
          <w:szCs w:val="34"/>
          <w:vertAlign w:val="superscript"/>
          <w:rtl/>
        </w:rPr>
        <w:footnoteReference w:id="40"/>
      </w:r>
      <w:r w:rsidRPr="00394A4E">
        <w:rPr>
          <w:position w:val="4"/>
          <w:szCs w:val="34"/>
          <w:vertAlign w:val="superscript"/>
          <w:rtl/>
        </w:rPr>
        <w:t>)</w:t>
      </w:r>
      <w:r w:rsidRPr="00BA409D">
        <w:rPr>
          <w:rFonts w:cs="Lotus Linotype"/>
          <w:b/>
          <w:szCs w:val="28"/>
          <w:rtl/>
        </w:rPr>
        <w:t xml:space="preserve"> </w:t>
      </w:r>
    </w:p>
    <w:p w:rsidR="00A41217" w:rsidRPr="00BA409D" w:rsidRDefault="00A41217" w:rsidP="00DB08BD">
      <w:pPr>
        <w:pStyle w:val="NoSpacing"/>
        <w:widowControl w:val="0"/>
        <w:spacing w:line="204" w:lineRule="auto"/>
        <w:ind w:firstLine="425"/>
        <w:jc w:val="both"/>
        <w:rPr>
          <w:rFonts w:cs="Lotus Linotype"/>
          <w:b/>
          <w:szCs w:val="28"/>
          <w:rtl/>
        </w:rPr>
      </w:pPr>
      <w:r w:rsidRPr="00BA409D">
        <w:rPr>
          <w:rFonts w:cs="Lotus Linotype"/>
          <w:b/>
          <w:szCs w:val="28"/>
          <w:rtl/>
        </w:rPr>
        <w:t xml:space="preserve">والذي يراه الباحث هو عدم وجود القرينة الظاهرة التي تصرف عن حقيقة الأخذ باليد، كما ذكر الشيخ القرضاوي، ونفي عائشة مس يدهﷺ يد امرأة لا تحل له يقدم عليه إثبات من رأى ولعلها أرادت به عدم المصافحة. ولكن استجابة الرسول لأمة تأخذ بيده ليقضي لها بعض حاجتها أمر لا أجد، مع ما أعرفه من أخلاق رسول الله وتواضعه وحكمته وحيائه، أدنى إشكال في تصديقه وقبوله، ولكنه لا يصلح لتجويز المصافحة بين النساء والرجال كسلوك اجتماعي لا أجد شكًا أن الشارع الحكيم اللطيف الخبير أراد كفنا عنه. </w:t>
      </w:r>
    </w:p>
    <w:p w:rsidR="00A41217" w:rsidRPr="00BA409D" w:rsidRDefault="00A41217" w:rsidP="00DB08BD">
      <w:pPr>
        <w:pStyle w:val="NoSpacing"/>
        <w:widowControl w:val="0"/>
        <w:numPr>
          <w:ilvl w:val="0"/>
          <w:numId w:val="18"/>
        </w:numPr>
        <w:tabs>
          <w:tab w:val="clear" w:pos="1440"/>
          <w:tab w:val="num" w:pos="614"/>
        </w:tabs>
        <w:spacing w:line="204" w:lineRule="auto"/>
        <w:ind w:left="614" w:hanging="614"/>
        <w:jc w:val="lowKashida"/>
        <w:rPr>
          <w:rFonts w:cs="Lotus Linotype"/>
          <w:b/>
          <w:szCs w:val="28"/>
        </w:rPr>
      </w:pPr>
      <w:r w:rsidRPr="00BA409D">
        <w:rPr>
          <w:rFonts w:cs="Lotus Linotype"/>
          <w:b/>
          <w:szCs w:val="28"/>
          <w:rtl/>
        </w:rPr>
        <w:t xml:space="preserve">واستدلوا بحديث أم عطية </w:t>
      </w:r>
      <w:r w:rsidRPr="000C7E4D">
        <w:rPr>
          <w:rFonts w:ascii="Times New Roman" w:hAnsi="Times New Roman" w:cs="Times New Roman"/>
          <w:b/>
          <w:szCs w:val="30"/>
          <w:rtl/>
        </w:rPr>
        <w:t>–</w:t>
      </w:r>
      <w:r w:rsidRPr="00BA409D">
        <w:rPr>
          <w:rFonts w:ascii="Lotus Linotype" w:hAnsi="Lotus Linotype" w:cs="Lotus Linotype"/>
          <w:b/>
          <w:szCs w:val="28"/>
          <w:rtl/>
        </w:rPr>
        <w:t xml:space="preserve"> </w:t>
      </w:r>
      <w:r w:rsidRPr="00BA409D">
        <w:rPr>
          <w:rFonts w:cs="Lotus Linotype"/>
          <w:b/>
          <w:szCs w:val="28"/>
          <w:rtl/>
        </w:rPr>
        <w:t xml:space="preserve">رضي الله عنها - الذي رواه ابن حبان </w:t>
      </w:r>
      <w:r>
        <w:rPr>
          <w:rFonts w:cs="CTraditional Arabic"/>
          <w:b/>
          <w:rtl/>
        </w:rPr>
        <w:t>:</w:t>
      </w:r>
      <w:r w:rsidRPr="00BA409D">
        <w:rPr>
          <w:rFonts w:cs="Lotus Linotype"/>
          <w:b/>
          <w:szCs w:val="28"/>
          <w:rtl/>
        </w:rPr>
        <w:t xml:space="preserve"> في مبايعتهن لعمر</w:t>
      </w:r>
      <w:r w:rsidRPr="00AF56B1">
        <w:rPr>
          <w:rFonts w:ascii="Lotus Linotype" w:hAnsi="Lotus Linotype" w:cs="Lotus Linotype"/>
          <w:bCs/>
        </w:rPr>
        <w:sym w:font="AGA Arabesque" w:char="F074"/>
      </w:r>
      <w:r w:rsidRPr="00BA409D">
        <w:rPr>
          <w:rFonts w:cs="Lotus Linotype"/>
          <w:b/>
          <w:szCs w:val="28"/>
          <w:rtl/>
        </w:rPr>
        <w:t xml:space="preserve"> نائبًا عن رسول اللهﷺ، وفيه: </w:t>
      </w:r>
      <w:r w:rsidRPr="00D330BE">
        <w:rPr>
          <w:rFonts w:cs="Lotus Linotype"/>
          <w:color w:val="000000"/>
          <w:spacing w:val="-4"/>
          <w:sz w:val="40"/>
          <w:szCs w:val="32"/>
          <w:rtl/>
        </w:rPr>
        <w:t>«</w:t>
      </w:r>
      <w:r w:rsidRPr="00BA409D">
        <w:rPr>
          <w:rFonts w:cs="Lotus Linotype"/>
          <w:b/>
          <w:szCs w:val="28"/>
          <w:rtl/>
        </w:rPr>
        <w:t>فَمَدَّ يَدَهُ مِنْ خَارِجِ الْبَيْتِ وَمَدَدْنَا أَيْدِيَنَا مِنْ دَاخِلِ الْبَيْتِ، ثُمَّ قَالَ: اللَّهُمَّ اشْهَدْ</w:t>
      </w:r>
      <w:r w:rsidRPr="00871F38">
        <w:rPr>
          <w:rFonts w:cs="Lotus Linotype"/>
          <w:b/>
          <w:color w:val="000000"/>
          <w:spacing w:val="-4"/>
          <w:sz w:val="40"/>
          <w:szCs w:val="32"/>
          <w:rtl/>
        </w:rPr>
        <w:t>»</w:t>
      </w:r>
      <w:r w:rsidRPr="00BA409D">
        <w:rPr>
          <w:rFonts w:cs="Lotus Linotype"/>
          <w:b/>
          <w:szCs w:val="28"/>
          <w:rtl/>
        </w:rPr>
        <w:t xml:space="preserve">. وفي دلالته ضعف لأنه يحتمل أن مد اليد كان بالإشارة، ولكن لأم عطية حديث آخر عند البخاري، وفيه: </w:t>
      </w:r>
      <w:r w:rsidRPr="00D330BE">
        <w:rPr>
          <w:rFonts w:cs="Lotus Linotype"/>
          <w:color w:val="000000"/>
          <w:spacing w:val="-4"/>
          <w:sz w:val="40"/>
          <w:szCs w:val="32"/>
          <w:rtl/>
        </w:rPr>
        <w:t>«</w:t>
      </w:r>
      <w:r w:rsidRPr="00BA409D">
        <w:rPr>
          <w:rFonts w:cs="Lotus Linotype"/>
          <w:b/>
          <w:szCs w:val="28"/>
          <w:rtl/>
        </w:rPr>
        <w:t>فَقَبَضَتِ امْرَأَةٌ يَدَهَا، فَقَالَتْ: أَسْعَدَتْنِي فُلاَنَةُ، أُرِيدُ أَنْ أَجْزِيَهَا، فَمَا قَالَ لَهَا النَّبِيُّ صَلَّى اللهُ عَلَيْهِ وَسَلَّمَ شَيْئًا، فَانْطَلَقَتْ وَرَجَعَتْ، فَبَايَعَهَا</w:t>
      </w:r>
      <w:r w:rsidRPr="00871F38">
        <w:rPr>
          <w:rFonts w:cs="Lotus Linotype"/>
          <w:b/>
          <w:color w:val="000000"/>
          <w:spacing w:val="-4"/>
          <w:sz w:val="40"/>
          <w:szCs w:val="32"/>
          <w:rtl/>
        </w:rPr>
        <w:t>»</w:t>
      </w:r>
      <w:r w:rsidRPr="00BA409D">
        <w:rPr>
          <w:rFonts w:cs="Lotus Linotype"/>
          <w:b/>
          <w:szCs w:val="28"/>
          <w:rtl/>
        </w:rPr>
        <w:t xml:space="preserve"> وهو أقوى دلالة على المصافحة، ولكن الحافظ ذكر في الفتح ورود صور لبيعة النساء منها ما كان بغمس اليد في الماء ومنها ما كان من وراء حائل، وقد تكون هذه المرأة قبضت يدها قبل غمسها في الماء أو المصافحة من وراء حائل أو يكون المعنى تأخرها عن البيعة لا حقيقة قبض يدها.</w:t>
      </w:r>
      <w:r w:rsidRPr="00394A4E">
        <w:rPr>
          <w:position w:val="4"/>
          <w:szCs w:val="34"/>
          <w:vertAlign w:val="superscript"/>
          <w:rtl/>
        </w:rPr>
        <w:t>(</w:t>
      </w:r>
      <w:r w:rsidRPr="00394A4E">
        <w:rPr>
          <w:position w:val="4"/>
          <w:szCs w:val="34"/>
          <w:vertAlign w:val="superscript"/>
          <w:rtl/>
        </w:rPr>
        <w:footnoteReference w:id="41"/>
      </w:r>
      <w:r w:rsidRPr="00394A4E">
        <w:rPr>
          <w:position w:val="4"/>
          <w:szCs w:val="34"/>
          <w:vertAlign w:val="superscript"/>
          <w:rtl/>
        </w:rPr>
        <w:t>)</w:t>
      </w:r>
    </w:p>
    <w:p w:rsidR="00A41217" w:rsidRPr="00BA409D" w:rsidRDefault="00A41217" w:rsidP="00AF56B1">
      <w:pPr>
        <w:pStyle w:val="NoSpacing"/>
        <w:widowControl w:val="0"/>
        <w:numPr>
          <w:ilvl w:val="0"/>
          <w:numId w:val="18"/>
        </w:numPr>
        <w:tabs>
          <w:tab w:val="clear" w:pos="1440"/>
          <w:tab w:val="num" w:pos="614"/>
        </w:tabs>
        <w:spacing w:before="120" w:line="216" w:lineRule="auto"/>
        <w:ind w:left="614" w:hanging="614"/>
        <w:jc w:val="lowKashida"/>
        <w:rPr>
          <w:rFonts w:cs="Lotus Linotype"/>
          <w:b/>
          <w:szCs w:val="28"/>
        </w:rPr>
      </w:pPr>
      <w:r w:rsidRPr="00BA409D">
        <w:rPr>
          <w:rFonts w:cs="Lotus Linotype"/>
          <w:b/>
          <w:szCs w:val="28"/>
          <w:rtl/>
        </w:rPr>
        <w:t>ويستدل بعض الناس بالأعراف السائدة سيما في البلاد الغربية، و</w:t>
      </w:r>
      <w:r w:rsidRPr="00BA409D">
        <w:rPr>
          <w:rFonts w:cs="Lotus Linotype"/>
          <w:szCs w:val="28"/>
          <w:rtl/>
        </w:rPr>
        <w:t xml:space="preserve">نحن نقول أولًا إننا لا نشك أن اختلاف المكان وما يتبعه من تغير الواقع قد يؤثر على الفتوى الشرعية، وما إسقاط الحدود في دار الحرب إلا من هذا الباب، ومنه ما ذكره ابن تيمية </w:t>
      </w:r>
      <w:r>
        <w:rPr>
          <w:rFonts w:cs="CTraditional Arabic"/>
          <w:rtl/>
          <w:lang w:bidi="ar-SA"/>
        </w:rPr>
        <w:t>:</w:t>
      </w:r>
      <w:r w:rsidRPr="00BA409D">
        <w:rPr>
          <w:rFonts w:cs="Lotus Linotype"/>
          <w:szCs w:val="28"/>
          <w:rtl/>
          <w:lang w:bidi="ar-SA"/>
        </w:rPr>
        <w:t xml:space="preserve"> من عدم مخالفة الكفار في الهدي الظاهر في دارهم، قال: «ومثل ذلك اليوم: لو أن المسلم بدار حرب أو دار كفر غير حرب لم يكن مأموراً بالمخالفة لهم في الهدي الظاهر لما عليه من الضرر. بل قد يستحب للرجل أو يجب عليه أن يشاركهم أحيانا في هديهم الظاهر إذا كان في ذلك مصلحة دينية.»</w:t>
      </w:r>
      <w:r w:rsidRPr="00394A4E">
        <w:rPr>
          <w:position w:val="4"/>
          <w:szCs w:val="34"/>
          <w:vertAlign w:val="superscript"/>
          <w:rtl/>
          <w:lang w:bidi="ar-SA"/>
        </w:rPr>
        <w:t>(</w:t>
      </w:r>
      <w:r w:rsidRPr="00394A4E">
        <w:rPr>
          <w:position w:val="4"/>
          <w:szCs w:val="34"/>
          <w:vertAlign w:val="superscript"/>
          <w:rtl/>
          <w:lang w:bidi="ar-SA"/>
        </w:rPr>
        <w:footnoteReference w:id="42"/>
      </w:r>
      <w:r w:rsidRPr="00394A4E">
        <w:rPr>
          <w:position w:val="4"/>
          <w:szCs w:val="34"/>
          <w:vertAlign w:val="superscript"/>
          <w:rtl/>
          <w:lang w:bidi="ar-SA"/>
        </w:rPr>
        <w:t>)</w:t>
      </w:r>
      <w:r w:rsidRPr="00BA409D">
        <w:rPr>
          <w:rFonts w:cs="Lotus Linotype"/>
          <w:szCs w:val="28"/>
          <w:rtl/>
          <w:lang w:bidi="ar-SA"/>
        </w:rPr>
        <w:t xml:space="preserve">. ولكن المذكور في كلام شيخ الإسلام لا يتعلق بترك الواجبات أو فعل المحرمات، وتغير الدار لا ينبغي أن يجرئ المرء على مقارفة الآثام والمحرمات والتفريط في الأوامر والواجبات فيجمع إلى هجرته من بلاد الإسلام إلى غيرها إثمًا وحوبًا يزيده من الله بعدًا. إن الفقهاء متفقون على أن المسلم مكلف بشرائع الإسلام في كل مكان، إلا ما كان من خلاف بعضهم في بعض أبواب المعاملات </w:t>
      </w:r>
      <w:r w:rsidRPr="00BA409D">
        <w:rPr>
          <w:rFonts w:cs="Lotus Linotype"/>
          <w:szCs w:val="28"/>
          <w:rtl/>
          <w:lang w:bidi="ar-SA"/>
        </w:rPr>
        <w:lastRenderedPageBreak/>
        <w:t>والقضاء، وهذا شأن غير ما نحن فيه. ونقول ثانيًا: إنه إن كان المقصود سحب تلك الثقافة على ما يكون بين المسلمين، فما أظهر فساد هذا الرأي، وإن كان المقصود التهاون في ذلك مع غير المسلمين، ففاسد أيضًا، ولكن إن قُصِد بعض الترخص لدفع حرج ما إذا بودئ المسلم بالمصافحة، فلعل الأمر يكون هنا أهون، ولعلنا نناقشه في الفقرة التالية.</w:t>
      </w:r>
    </w:p>
    <w:p w:rsidR="00A41217" w:rsidRPr="006B0EE3" w:rsidRDefault="00A41217" w:rsidP="006B0EE3">
      <w:pPr>
        <w:bidi/>
        <w:spacing w:before="120" w:after="0" w:line="240" w:lineRule="auto"/>
        <w:rPr>
          <w:rFonts w:cs="الحوكمي عنوان2"/>
          <w:sz w:val="28"/>
          <w:szCs w:val="28"/>
          <w:rtl/>
        </w:rPr>
      </w:pPr>
      <w:r w:rsidRPr="006B0EE3">
        <w:rPr>
          <w:rFonts w:cs="الحوكمي عنوان2" w:hint="cs"/>
          <w:sz w:val="28"/>
          <w:szCs w:val="28"/>
          <w:rtl/>
        </w:rPr>
        <w:t>الترجيح</w:t>
      </w:r>
      <w:r w:rsidRPr="006B0EE3">
        <w:rPr>
          <w:rFonts w:cs="الحوكمي عنوان2"/>
          <w:sz w:val="28"/>
          <w:szCs w:val="28"/>
          <w:rtl/>
        </w:rPr>
        <w:t>:</w:t>
      </w:r>
    </w:p>
    <w:p w:rsidR="00A41217" w:rsidRPr="00BA409D" w:rsidRDefault="00A41217" w:rsidP="00AF56B1">
      <w:pPr>
        <w:pStyle w:val="NoSpacing"/>
        <w:widowControl w:val="0"/>
        <w:spacing w:before="180" w:line="216" w:lineRule="auto"/>
        <w:ind w:firstLine="425"/>
        <w:jc w:val="both"/>
        <w:rPr>
          <w:rFonts w:cs="Lotus Linotype"/>
          <w:szCs w:val="28"/>
          <w:rtl/>
          <w:lang w:bidi="ar-SA"/>
        </w:rPr>
      </w:pPr>
      <w:r w:rsidRPr="00BA409D">
        <w:rPr>
          <w:rFonts w:cs="Lotus Linotype"/>
          <w:szCs w:val="28"/>
          <w:rtl/>
          <w:lang w:bidi="ar-SA"/>
        </w:rPr>
        <w:t xml:space="preserve">إن الذي يترجح للباحث هو حرمة مصافحة المرأة الأجنبية، وذلك لما سبق من أدلة المنقول والمعقول، ولكون ما </w:t>
      </w:r>
      <w:r w:rsidRPr="00BA409D">
        <w:rPr>
          <w:rFonts w:cs="Lotus Linotype"/>
          <w:b/>
          <w:szCs w:val="28"/>
          <w:rtl/>
          <w:lang w:bidi="ar-SA"/>
        </w:rPr>
        <w:t>يعارضها</w:t>
      </w:r>
      <w:r w:rsidRPr="00BA409D">
        <w:rPr>
          <w:rFonts w:cs="Lotus Linotype"/>
          <w:szCs w:val="28"/>
          <w:rtl/>
          <w:lang w:bidi="ar-SA"/>
        </w:rPr>
        <w:t xml:space="preserve"> لا ينتهض لدفعها، سيما مع موافقتها لأصول الشريعة وقواعدها المتحرية لحفظ الأعراض وزجر النفوس عن الفواحش. كما يرى الباحث أن اتفاق المذاهب الأربعة على هذا القول وعدم الوقوف على من صرح بضده من المتقدمين يعضد هذا الترجيح أيما تعضيد ويورث الاطمئنان إليه. </w:t>
      </w:r>
    </w:p>
    <w:p w:rsidR="00A41217" w:rsidRPr="00AF56B1" w:rsidRDefault="00A41217" w:rsidP="00AF56B1">
      <w:pPr>
        <w:pStyle w:val="Heading2"/>
        <w:keepNext w:val="0"/>
        <w:keepLines w:val="0"/>
        <w:widowControl w:val="0"/>
        <w:spacing w:before="240" w:line="216" w:lineRule="auto"/>
        <w:rPr>
          <w:rFonts w:cs="الحوكمي عنوان2"/>
          <w:b w:val="0"/>
          <w:bCs w:val="0"/>
          <w:sz w:val="28"/>
          <w:szCs w:val="28"/>
          <w:rtl/>
        </w:rPr>
      </w:pPr>
      <w:bookmarkStart w:id="22" w:name="_Toc444382238"/>
      <w:r w:rsidRPr="00AF56B1">
        <w:rPr>
          <w:rFonts w:cs="الحوكمي عنوان2"/>
          <w:b w:val="0"/>
          <w:bCs w:val="0"/>
          <w:sz w:val="28"/>
          <w:szCs w:val="28"/>
          <w:rtl/>
        </w:rPr>
        <w:t>المصافحة لدفع الحرج عندما يبادأ المسلم بها:</w:t>
      </w:r>
      <w:bookmarkEnd w:id="22"/>
    </w:p>
    <w:p w:rsidR="00A41217" w:rsidRPr="00BA409D" w:rsidRDefault="00A41217" w:rsidP="00AF56B1">
      <w:pPr>
        <w:pStyle w:val="NoSpacing"/>
        <w:widowControl w:val="0"/>
        <w:spacing w:before="180" w:line="216" w:lineRule="auto"/>
        <w:ind w:firstLine="425"/>
        <w:jc w:val="both"/>
        <w:rPr>
          <w:rFonts w:cs="Lotus Linotype"/>
          <w:szCs w:val="28"/>
          <w:rtl/>
          <w:lang w:bidi="ar-SA"/>
        </w:rPr>
      </w:pPr>
      <w:r w:rsidRPr="00BA409D">
        <w:rPr>
          <w:rFonts w:cs="Lotus Linotype"/>
          <w:szCs w:val="28"/>
          <w:rtl/>
          <w:lang w:bidi="ar-SA"/>
        </w:rPr>
        <w:t xml:space="preserve">لا شك أن </w:t>
      </w:r>
      <w:r w:rsidRPr="00BA409D">
        <w:rPr>
          <w:rFonts w:cs="Lotus Linotype"/>
          <w:b/>
          <w:szCs w:val="28"/>
          <w:rtl/>
          <w:lang w:bidi="ar-SA"/>
        </w:rPr>
        <w:t>امتناع</w:t>
      </w:r>
      <w:r w:rsidRPr="00BA409D">
        <w:rPr>
          <w:rFonts w:cs="Lotus Linotype"/>
          <w:szCs w:val="28"/>
          <w:rtl/>
          <w:lang w:bidi="ar-SA"/>
        </w:rPr>
        <w:t xml:space="preserve"> المرء عن مصافحة امرأة مدت إليه يدها قد يحدث لها حرجًا بالغًا، وقد قرأت مقالًا لإحدى الكاتبات الليبراليات المتعاطفات مع قضايا الأقليات مفاده أن هؤلاء الأصوليين لا ينبغي ظلمهم، ولكن ينبغي العمل الجاد للحيلولة دون انتشارهم ولتحجيم مدارسهم، لأن في انتشارهم خطرًا على النسيج الاجتماعي للبلاد. وسبب ما كتبته أنها حضرت محاضرة لأحد المسلمين عن حرب العراق، وانبهرت بحسن عرضه، فلما أرادت بعد المحاضرة أن تشد على يده إظهارًا للتأييد، امتنع لأنها امرأة. </w:t>
      </w:r>
    </w:p>
    <w:p w:rsidR="00A41217" w:rsidRPr="00BA409D" w:rsidRDefault="00A41217" w:rsidP="006B0EE3">
      <w:pPr>
        <w:pStyle w:val="NoSpacing"/>
        <w:widowControl w:val="0"/>
        <w:spacing w:before="180" w:line="216" w:lineRule="auto"/>
        <w:ind w:firstLine="425"/>
        <w:jc w:val="both"/>
        <w:rPr>
          <w:rFonts w:cs="Lotus Linotype"/>
          <w:szCs w:val="28"/>
          <w:rtl/>
          <w:lang w:bidi="ar-SA"/>
        </w:rPr>
      </w:pPr>
      <w:r w:rsidRPr="00BA409D">
        <w:rPr>
          <w:rFonts w:cs="Lotus Linotype"/>
          <w:szCs w:val="28"/>
          <w:rtl/>
          <w:lang w:bidi="ar-SA"/>
        </w:rPr>
        <w:t xml:space="preserve">وما زال الأطباء يسألون عما يفعلون عند التقدم للنيابات وحضور المقابلات الشخصية، فقد يتوقف على المصافحة في كثير من الأحيان الحصول على الوظيفة من عدمه، سيما إذا كان رئيس القسم امرأة. وقد يجعل الله للبعض مخرجاً، إلا أنه يقع للكثير من الأطباء عنت بسبب هذا الأمر وفوات مصالح. وهذا الأمر بالطبع لا يختص بالأطباء. </w:t>
      </w:r>
    </w:p>
    <w:p w:rsidR="00A41217" w:rsidRPr="00BA409D" w:rsidRDefault="00A41217" w:rsidP="006B0EE3">
      <w:pPr>
        <w:pStyle w:val="NoSpacing"/>
        <w:widowControl w:val="0"/>
        <w:spacing w:before="180" w:line="216" w:lineRule="auto"/>
        <w:ind w:firstLine="425"/>
        <w:jc w:val="both"/>
        <w:rPr>
          <w:rFonts w:cs="Lotus Linotype"/>
          <w:szCs w:val="28"/>
          <w:rtl/>
          <w:lang w:bidi="ar-SA"/>
        </w:rPr>
      </w:pPr>
      <w:r w:rsidRPr="00BA409D">
        <w:rPr>
          <w:rFonts w:cs="Lotus Linotype"/>
          <w:szCs w:val="28"/>
          <w:rtl/>
          <w:lang w:bidi="ar-SA"/>
        </w:rPr>
        <w:t xml:space="preserve">ولقد روى لي الثقات عن بعض كبار أهل العلم أنه ذهب لزيارة بعض الدول المسلمة بعد خروجها من الاتحاد السوفييتي، فلما جاء وقت استقبال الفريق الطبي لإحدى المستشفيات، وأقبلت عليه الطبيبات والممرضات يصافحنه - وكأنهن يلتمسن البركة - فاجأ مرافقيه بمصافحته لهن، ثم علل لهم ذلك بأنه رأى قلة علمهن بالإسلام مع شدة حبهن له، فكره أن يكسر بخاطرهن. </w:t>
      </w:r>
    </w:p>
    <w:p w:rsidR="00A41217" w:rsidRPr="00BA409D" w:rsidRDefault="00A41217" w:rsidP="006B0EE3">
      <w:pPr>
        <w:pStyle w:val="NoSpacing"/>
        <w:widowControl w:val="0"/>
        <w:spacing w:before="180" w:line="216" w:lineRule="auto"/>
        <w:ind w:firstLine="425"/>
        <w:jc w:val="both"/>
        <w:rPr>
          <w:rFonts w:cs="Lotus Linotype"/>
          <w:spacing w:val="-2"/>
          <w:szCs w:val="28"/>
          <w:rtl/>
          <w:lang w:bidi="ar-SA"/>
        </w:rPr>
      </w:pPr>
      <w:r w:rsidRPr="00BA409D">
        <w:rPr>
          <w:rFonts w:cs="Lotus Linotype"/>
          <w:spacing w:val="-2"/>
          <w:szCs w:val="28"/>
          <w:rtl/>
          <w:lang w:bidi="ar-SA"/>
        </w:rPr>
        <w:t xml:space="preserve">إن الأمثلة على هذه الوقائع لا تنحصر، ولكني أردت ذكر بعضها ليعرف القارئ أن امتناع المرء عن مصافحة امرأة مدت إليه يدها قد يكون في أحيان كثيرة أمرًا يسيرًا، وقد تتفهم المرأة دوافع الرجل المسلم، وربما قدرتها (مع ندرة ذلك)، ولكنه أحيانًا </w:t>
      </w:r>
      <w:r w:rsidRPr="00BA409D">
        <w:rPr>
          <w:rFonts w:cs="Lotus Linotype"/>
          <w:spacing w:val="-2"/>
          <w:szCs w:val="28"/>
          <w:rtl/>
          <w:lang w:bidi="ar-SA"/>
        </w:rPr>
        <w:lastRenderedPageBreak/>
        <w:t xml:space="preserve">يكون بالغ الضرر. فهل مثل هذا الحرج يسوغ لمن ظن حصوله إن امتنع عن المصافحة أن يصافح؟ </w:t>
      </w:r>
    </w:p>
    <w:p w:rsidR="00A41217" w:rsidRPr="00BA409D" w:rsidRDefault="00A41217" w:rsidP="006B0EE3">
      <w:pPr>
        <w:pStyle w:val="NoSpacing"/>
        <w:widowControl w:val="0"/>
        <w:spacing w:before="180" w:line="216" w:lineRule="auto"/>
        <w:ind w:firstLine="425"/>
        <w:jc w:val="both"/>
        <w:rPr>
          <w:rFonts w:cs="Lotus Linotype"/>
          <w:szCs w:val="28"/>
          <w:rtl/>
          <w:lang w:bidi="ar-SA"/>
        </w:rPr>
      </w:pPr>
      <w:r w:rsidRPr="00BA409D">
        <w:rPr>
          <w:rFonts w:cs="Lotus Linotype"/>
          <w:szCs w:val="28"/>
          <w:rtl/>
          <w:lang w:bidi="ar-SA"/>
        </w:rPr>
        <w:t>لا شك أن قوة الحكم ترجع إلى قوة الدليل من حيث الثبوت والدلالة، والحاجة لا تقوى على تجويز محرمات المقاصد سيما إن كان دليل تحريمها قطعيًا، ولكن الحاجة بمفهومها الشرعي قد تخصص بعض أفراد عموم قد سبق تخصيصه، وهو من معاني الاستحسان عند المالكية، وقد تبيح الماسة منها بعض محرمات الوسائل سيما تلك التي لم ينتهض لتحريمها الدليل القطعي. ولذلك فإن مناقشتنا لأدلة المذاهب الأربعة هنا لا تعني رد قولهم، فقد قبلناه، وهو كما ذكرت الموافق للمعقول ولأصول الشريعة، ولكنها فقط لتمييز درجة الحكم، فإنه قد تقرر أن تحريم المصافحة من باب تحريم الوسائل لا المقاصد، فبقي أن نميز درجة الحكم من جهة دليله.</w:t>
      </w:r>
    </w:p>
    <w:p w:rsidR="00A41217" w:rsidRPr="00BA409D" w:rsidRDefault="00A41217" w:rsidP="001110FB">
      <w:pPr>
        <w:pStyle w:val="NoSpacing"/>
        <w:widowControl w:val="0"/>
        <w:spacing w:before="180" w:line="216" w:lineRule="auto"/>
        <w:ind w:firstLine="425"/>
        <w:jc w:val="both"/>
        <w:rPr>
          <w:rFonts w:cs="Lotus Linotype"/>
          <w:szCs w:val="28"/>
          <w:rtl/>
          <w:lang w:bidi="ar-SA"/>
        </w:rPr>
      </w:pPr>
      <w:r w:rsidRPr="00BA409D">
        <w:rPr>
          <w:rFonts w:cs="Lotus Linotype"/>
          <w:szCs w:val="28"/>
          <w:rtl/>
          <w:lang w:bidi="ar-SA"/>
        </w:rPr>
        <w:t xml:space="preserve">جاء في تحريم المصافحة أعلاه تركهﷺ لها في البيعة وقوله: </w:t>
      </w:r>
      <w:r w:rsidRPr="00D330BE">
        <w:rPr>
          <w:rFonts w:cs="Lotus Linotype"/>
          <w:color w:val="000000"/>
          <w:spacing w:val="-4"/>
          <w:sz w:val="40"/>
          <w:szCs w:val="32"/>
          <w:rtl/>
        </w:rPr>
        <w:t>«</w:t>
      </w:r>
      <w:r w:rsidRPr="00BA409D">
        <w:rPr>
          <w:rFonts w:cs="Lotus Linotype"/>
          <w:szCs w:val="28"/>
          <w:rtl/>
          <w:lang w:bidi="ar-SA"/>
        </w:rPr>
        <w:t xml:space="preserve">إني لا أصافح النساء»  ولكن غاية ما يفيده الاحتمال المتردد بين التحريم والكراهة والتنزه، وهو إلى الكراهة أقرب لأن الحال يقتضي أخذ البيعة من هؤلاء النساء وعدم إحراجهن، فلا يقوى أن يكون تركه لها تنزهًا، فيتردد الحكم بين الكراهة والتحريم، والمتيقن الكراهة على أقل تقدير. أما قولهﷺ: </w:t>
      </w:r>
      <w:r w:rsidRPr="00D330BE">
        <w:rPr>
          <w:rFonts w:cs="Lotus Linotype"/>
          <w:color w:val="000000"/>
          <w:spacing w:val="-4"/>
          <w:sz w:val="40"/>
          <w:szCs w:val="32"/>
          <w:rtl/>
        </w:rPr>
        <w:t>«</w:t>
      </w:r>
      <w:r w:rsidRPr="00BA409D">
        <w:rPr>
          <w:rFonts w:cs="Lotus Linotype"/>
          <w:b/>
          <w:bCs/>
          <w:szCs w:val="28"/>
          <w:rtl/>
          <w:lang w:bidi="ar-SA"/>
        </w:rPr>
        <w:t>لَأَنْ يُطْعَنَ فِي رَأْسِ رَجُلٍ بِمِخْيَطٍ مِنْ حَدِيدٍ خَيْرٌ لَهُ مِنْ أَنْ يَمَسَّ امْرَأَةً لَا تَحِلُّ لَهُ</w:t>
      </w:r>
      <w:r w:rsidRPr="00BA409D">
        <w:rPr>
          <w:rFonts w:cs="Lotus Linotype"/>
          <w:szCs w:val="28"/>
          <w:rtl/>
          <w:lang w:bidi="ar-SA"/>
        </w:rPr>
        <w:t>»</w:t>
      </w:r>
      <w:r w:rsidRPr="00394A4E">
        <w:rPr>
          <w:position w:val="4"/>
          <w:szCs w:val="34"/>
          <w:vertAlign w:val="superscript"/>
          <w:rtl/>
          <w:lang w:bidi="ar-SA"/>
        </w:rPr>
        <w:t>(</w:t>
      </w:r>
      <w:r w:rsidRPr="00394A4E">
        <w:rPr>
          <w:position w:val="4"/>
          <w:szCs w:val="34"/>
          <w:vertAlign w:val="superscript"/>
          <w:rtl/>
          <w:lang w:bidi="ar-SA"/>
        </w:rPr>
        <w:footnoteReference w:id="43"/>
      </w:r>
      <w:r w:rsidRPr="00394A4E">
        <w:rPr>
          <w:position w:val="4"/>
          <w:szCs w:val="34"/>
          <w:vertAlign w:val="superscript"/>
          <w:rtl/>
          <w:lang w:bidi="ar-SA"/>
        </w:rPr>
        <w:t>)</w:t>
      </w:r>
      <w:r w:rsidRPr="00BA409D">
        <w:rPr>
          <w:rFonts w:cs="Lotus Linotype"/>
          <w:szCs w:val="28"/>
          <w:rtl/>
          <w:lang w:bidi="ar-SA"/>
        </w:rPr>
        <w:t xml:space="preserve"> فقد اعترض عليه الشيخ القرضاوي لكونه من طريق شداد بن سعيد (وفيه ضعف)، وقد أخرجه ابن أبي شيبة من طريق بشير بن عقبة (وهو ثقة)، عن أبي العلاء، عن معقل موقوفاً عليه من قوله بلفظ: «لأن يعمد أحدكم إلى مخيط فيغرز به في رأسي، أحب إلى من أن تغسل رأسي امرأة ليست مني ذات محرم» فرجح أن شدادًا أخطأ في رفع الحديث إلى النبي وفي لفظه.</w:t>
      </w:r>
      <w:r w:rsidRPr="00394A4E">
        <w:rPr>
          <w:position w:val="4"/>
          <w:szCs w:val="34"/>
          <w:vertAlign w:val="superscript"/>
          <w:rtl/>
          <w:lang w:bidi="ar-SA"/>
        </w:rPr>
        <w:t>(</w:t>
      </w:r>
      <w:r w:rsidRPr="00394A4E">
        <w:rPr>
          <w:position w:val="4"/>
          <w:szCs w:val="34"/>
          <w:vertAlign w:val="superscript"/>
          <w:rtl/>
          <w:lang w:bidi="ar-SA"/>
        </w:rPr>
        <w:footnoteReference w:id="44"/>
      </w:r>
      <w:r w:rsidRPr="00394A4E">
        <w:rPr>
          <w:position w:val="4"/>
          <w:szCs w:val="34"/>
          <w:vertAlign w:val="superscript"/>
          <w:rtl/>
          <w:lang w:bidi="ar-SA"/>
        </w:rPr>
        <w:t>)</w:t>
      </w:r>
      <w:r w:rsidRPr="00BA409D">
        <w:rPr>
          <w:rFonts w:cs="Lotus Linotype"/>
          <w:szCs w:val="28"/>
          <w:rtl/>
          <w:lang w:bidi="ar-SA"/>
        </w:rPr>
        <w:t xml:space="preserve"> ومع افتراض صحته، فلا يفيد القطع بتحريم المصافحة لأن لفظ المس فيه مشترك، وأكثر استعماله الشرعي في الجماع، فإنه بلا شك المقصود في قوله تعالى: </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038" w:hAnsi="QCF_P038" w:cs="QCF_P038"/>
          <w:color w:val="000000"/>
          <w:sz w:val="29"/>
          <w:szCs w:val="29"/>
          <w:rtl/>
        </w:rPr>
        <w:t>ﯠ</w:t>
      </w:r>
      <w:r>
        <w:rPr>
          <w:rFonts w:ascii="QCF_P038" w:hAnsi="QCF_P038" w:cs="QCF_P038"/>
          <w:color w:val="000000"/>
          <w:sz w:val="2"/>
          <w:szCs w:val="2"/>
          <w:rtl/>
        </w:rPr>
        <w:t xml:space="preserve"> </w:t>
      </w:r>
      <w:r>
        <w:rPr>
          <w:rFonts w:ascii="QCF_P038" w:hAnsi="QCF_P038" w:cs="QCF_P038"/>
          <w:color w:val="000000"/>
          <w:sz w:val="29"/>
          <w:szCs w:val="29"/>
          <w:rtl/>
        </w:rPr>
        <w:t>ﯡ</w:t>
      </w:r>
      <w:r>
        <w:rPr>
          <w:rFonts w:ascii="QCF_P038" w:hAnsi="QCF_P038" w:cs="QCF_P038"/>
          <w:color w:val="000000"/>
          <w:sz w:val="2"/>
          <w:szCs w:val="2"/>
          <w:rtl/>
        </w:rPr>
        <w:t xml:space="preserve"> </w:t>
      </w:r>
      <w:r>
        <w:rPr>
          <w:rFonts w:ascii="QCF_P038" w:hAnsi="QCF_P038" w:cs="QCF_P038"/>
          <w:color w:val="000000"/>
          <w:sz w:val="29"/>
          <w:szCs w:val="29"/>
          <w:rtl/>
        </w:rPr>
        <w:t>ﯢ</w:t>
      </w:r>
      <w:r>
        <w:rPr>
          <w:rFonts w:ascii="QCF_P038" w:hAnsi="QCF_P038" w:cs="QCF_P038"/>
          <w:color w:val="000000"/>
          <w:sz w:val="2"/>
          <w:szCs w:val="2"/>
          <w:rtl/>
        </w:rPr>
        <w:t xml:space="preserve"> </w:t>
      </w:r>
      <w:r>
        <w:rPr>
          <w:rFonts w:ascii="QCF_P038" w:hAnsi="QCF_P038" w:cs="QCF_P038"/>
          <w:color w:val="000000"/>
          <w:sz w:val="29"/>
          <w:szCs w:val="29"/>
          <w:rtl/>
        </w:rPr>
        <w:t>ﯣ</w:t>
      </w:r>
      <w:r>
        <w:rPr>
          <w:rFonts w:ascii="QCF_P038" w:hAnsi="QCF_P038" w:cs="QCF_P038"/>
          <w:color w:val="000000"/>
          <w:sz w:val="2"/>
          <w:szCs w:val="2"/>
          <w:rtl/>
        </w:rPr>
        <w:t xml:space="preserve"> </w:t>
      </w:r>
      <w:r>
        <w:rPr>
          <w:rFonts w:ascii="QCF_BSML" w:hAnsi="QCF_BSML" w:cs="QCF_BSML"/>
          <w:color w:val="000000"/>
          <w:sz w:val="29"/>
          <w:szCs w:val="29"/>
          <w:rtl/>
        </w:rPr>
        <w:t>ﮊ</w:t>
      </w:r>
      <w:r w:rsidRPr="00BA409D">
        <w:rPr>
          <w:rFonts w:cs="Lotus Linotype"/>
          <w:szCs w:val="28"/>
          <w:rtl/>
          <w:lang w:bidi="ar-SA"/>
        </w:rPr>
        <w:t>.</w:t>
      </w:r>
    </w:p>
    <w:p w:rsidR="00A41217" w:rsidRPr="00BA409D" w:rsidRDefault="00A41217" w:rsidP="001110FB">
      <w:pPr>
        <w:pStyle w:val="NoSpacing"/>
        <w:widowControl w:val="0"/>
        <w:spacing w:before="180" w:line="216" w:lineRule="auto"/>
        <w:ind w:firstLine="425"/>
        <w:jc w:val="both"/>
        <w:rPr>
          <w:rFonts w:cs="Lotus Linotype"/>
          <w:szCs w:val="28"/>
        </w:rPr>
      </w:pPr>
      <w:r w:rsidRPr="00BA409D">
        <w:rPr>
          <w:rFonts w:cs="Lotus Linotype"/>
          <w:szCs w:val="28"/>
          <w:rtl/>
          <w:lang w:bidi="ar-SA"/>
        </w:rPr>
        <w:t xml:space="preserve">إن الأدلة التي ذكرها المانعون تفيد رجحان المنع عند اعتضادها بالمعقول وشهادة أصول الشريعة لها، ولكنها لا تفيد القطع عند الباحث، فنقول إن في اتفاق فقهائنا على المنع من مصافحة الشواب ما يكفي لانزجارنا عن هذا العمل الذي لا نشك أنه ليس من هدي المسلمين، ولم يكن من سنتهﷺ، وهو مع ذلك يفتح الباب إلى شرور كثيرة ويرفع ستار الحياء في المعاملة بين الجنسين، فينبغي على المسلم ألا يبدأ بالمصافحة وأن ينمي إلى علم من حوله من الجيران أو زملاء العمل أنه لا يصافح النساء، فإن صافح على وجه الندرة من بدأه لدفع حرج غلب على ظنه حصوله فيرجى أن يكون له ذلك. </w:t>
      </w:r>
    </w:p>
    <w:p w:rsidR="00A41217" w:rsidRPr="00BA409D" w:rsidRDefault="00A41217" w:rsidP="000C7E4D">
      <w:pPr>
        <w:pStyle w:val="NoSpacing"/>
        <w:widowControl w:val="0"/>
        <w:spacing w:before="120" w:line="216" w:lineRule="auto"/>
        <w:rPr>
          <w:rFonts w:cs="Lotus Linotype"/>
          <w:szCs w:val="28"/>
          <w:rtl/>
        </w:rPr>
      </w:pPr>
    </w:p>
    <w:p w:rsidR="00A41217" w:rsidRPr="001110FB" w:rsidRDefault="00A41217" w:rsidP="001110FB">
      <w:pPr>
        <w:pStyle w:val="NoSpacing"/>
        <w:widowControl w:val="0"/>
        <w:spacing w:line="216" w:lineRule="auto"/>
        <w:jc w:val="center"/>
        <w:rPr>
          <w:rFonts w:cs="DecoType Naskh"/>
          <w:rtl/>
        </w:rPr>
      </w:pPr>
      <w:bookmarkStart w:id="23" w:name="_Toc441671722"/>
      <w:r>
        <w:rPr>
          <w:rtl/>
        </w:rPr>
        <w:br w:type="page"/>
      </w:r>
      <w:r w:rsidRPr="001110FB">
        <w:rPr>
          <w:rFonts w:cs="DecoType Naskh"/>
          <w:rtl/>
        </w:rPr>
        <w:lastRenderedPageBreak/>
        <w:t>المطلب الثاني</w:t>
      </w:r>
    </w:p>
    <w:p w:rsidR="00A41217" w:rsidRPr="001110FB" w:rsidRDefault="00A41217" w:rsidP="001110FB">
      <w:pPr>
        <w:pStyle w:val="NoSpacing"/>
        <w:widowControl w:val="0"/>
        <w:spacing w:line="216" w:lineRule="auto"/>
        <w:jc w:val="center"/>
        <w:outlineLvl w:val="0"/>
        <w:rPr>
          <w:rFonts w:cs="الحوكمي عنوان2"/>
          <w:color w:val="FFFFFF"/>
          <w:sz w:val="16"/>
          <w:szCs w:val="16"/>
          <w:rtl/>
        </w:rPr>
      </w:pPr>
      <w:bookmarkStart w:id="24" w:name="_Toc444382239"/>
      <w:r w:rsidRPr="001110FB">
        <w:rPr>
          <w:rFonts w:cs="الحوكمي عنوان2"/>
          <w:color w:val="FFFFFF"/>
          <w:sz w:val="16"/>
          <w:szCs w:val="16"/>
          <w:rtl/>
        </w:rPr>
        <w:t>المطلب الثاني: زيارة القدس في ظل الأوضاع الراهنة</w:t>
      </w:r>
      <w:bookmarkEnd w:id="23"/>
      <w:bookmarkEnd w:id="24"/>
    </w:p>
    <w:p w:rsidR="00A41217" w:rsidRPr="001110FB" w:rsidRDefault="00A41217" w:rsidP="001110FB">
      <w:pPr>
        <w:pStyle w:val="NoSpacing"/>
        <w:widowControl w:val="0"/>
        <w:spacing w:line="216" w:lineRule="auto"/>
        <w:jc w:val="center"/>
        <w:rPr>
          <w:rFonts w:cs="الحوكمي عنوان2"/>
          <w:sz w:val="30"/>
          <w:szCs w:val="30"/>
          <w:rtl/>
        </w:rPr>
      </w:pPr>
      <w:r w:rsidRPr="001110FB">
        <w:rPr>
          <w:rFonts w:cs="الحوكمي عنوان2"/>
          <w:sz w:val="30"/>
          <w:szCs w:val="30"/>
          <w:rtl/>
        </w:rPr>
        <w:t>زيارة القدس في ظل الأوضاع الراهنة</w:t>
      </w:r>
    </w:p>
    <w:p w:rsidR="00A41217" w:rsidRPr="00BA409D" w:rsidRDefault="00A41217" w:rsidP="001110FB">
      <w:pPr>
        <w:pStyle w:val="NoSpacing"/>
        <w:widowControl w:val="0"/>
        <w:spacing w:before="180" w:line="216" w:lineRule="auto"/>
        <w:ind w:firstLine="425"/>
        <w:jc w:val="both"/>
        <w:rPr>
          <w:rFonts w:cs="Lotus Linotype"/>
          <w:szCs w:val="28"/>
          <w:rtl/>
        </w:rPr>
      </w:pPr>
      <w:r w:rsidRPr="00BA409D">
        <w:rPr>
          <w:rFonts w:cs="Lotus Linotype"/>
          <w:szCs w:val="28"/>
          <w:rtl/>
        </w:rPr>
        <w:t>الأصل في زيارة المسجد الأقصى معروف، واختلاف المعاصرين في حكم زيارته في الأوضاع الراهنة معروف كذلك، وأهم معتمد للمانعين من الزيارة هو النظر في مآلاتها وما يترتب عليها من التطبيع، والمسألة من مسائل الأحكام السلطانية، وليس عندي من العلم بدقائقها ومآلات القولين من جهة الواقع ما يسمح لي بتقرير شيء فيها أدعو الناس إليه، ولو كان عندي لكان الأولى في هذه المسائل أن ترد إلى ولاة الأمور من الحكام والراسخين في العلم ممن يشيرون عليهم بعد دراسة وافية للمعطيات التي بين أيديهم. لكنني أعتقد أن خلاف أكثر المعاصرين كان منصبًا على زيارة المسلمين من رعايا الدول الإسلامية له وهو تحت الاحتلال لما في ذلك، عند جمهورهم، من تطبيع شعبي للعلاقات مع دولة الاحتلال. أما رعايا الدول غير الإسلامية، فقد رأت لجنة الفتوى بالجامعة الإسلامية بغزة منعهم كذلك، ولكن أكثر المعاصرين لم يتعرضوا لحالتهم، ولعلهم يحصل بزيارة آحادهم من النصرة للمرابطين في الأرض المقدسة والشد على أيديهم وإغاثتهم ما تنقضي به تلك الحاجات دون وقوع الآثار السلبية للتطبيع. أما الدعاة والمبرزون فيهم، فلهم وضع خاص، ولم يظهر لي في زيارتهم قول، فمن ذهب منهم لله ورسوله فذهابه لله ورسوله ومن ذهب لدنيا يصيبها فذهابه لما ذهب له.</w:t>
      </w:r>
    </w:p>
    <w:p w:rsidR="00A41217" w:rsidRPr="001110FB" w:rsidRDefault="00A41217" w:rsidP="001110FB">
      <w:pPr>
        <w:pStyle w:val="NoSpacing"/>
        <w:widowControl w:val="0"/>
        <w:spacing w:line="216" w:lineRule="auto"/>
        <w:jc w:val="center"/>
        <w:rPr>
          <w:rFonts w:cs="DecoType Naskh"/>
        </w:rPr>
      </w:pPr>
      <w:bookmarkStart w:id="25" w:name="_Toc441671723"/>
      <w:r w:rsidRPr="00BA409D">
        <w:rPr>
          <w:rFonts w:cs="Lotus Linotype"/>
          <w:szCs w:val="28"/>
          <w:rtl/>
        </w:rPr>
        <w:br w:type="page"/>
      </w:r>
      <w:r w:rsidRPr="001110FB">
        <w:rPr>
          <w:rFonts w:cs="DecoType Naskh"/>
          <w:rtl/>
        </w:rPr>
        <w:lastRenderedPageBreak/>
        <w:t>المطلب الثالث</w:t>
      </w:r>
    </w:p>
    <w:p w:rsidR="00A41217" w:rsidRPr="001110FB" w:rsidRDefault="00A41217" w:rsidP="001110FB">
      <w:pPr>
        <w:pStyle w:val="NoSpacing"/>
        <w:widowControl w:val="0"/>
        <w:spacing w:line="216" w:lineRule="auto"/>
        <w:jc w:val="center"/>
        <w:outlineLvl w:val="0"/>
        <w:rPr>
          <w:rFonts w:cs="الحوكمي عنوان2"/>
          <w:color w:val="FFFFFF"/>
          <w:sz w:val="16"/>
          <w:szCs w:val="16"/>
          <w:rtl/>
        </w:rPr>
      </w:pPr>
      <w:bookmarkStart w:id="26" w:name="_Toc444382240"/>
      <w:r w:rsidRPr="001110FB">
        <w:rPr>
          <w:rFonts w:cs="الحوكمي عنوان2"/>
          <w:color w:val="FFFFFF"/>
          <w:sz w:val="16"/>
          <w:szCs w:val="16"/>
          <w:rtl/>
        </w:rPr>
        <w:t>المطلب الثالث: ترويج كتب ومقالات أو أشرطة فيديو يختلط فيها الحق والباطل أو يشوبها بعض المنكرات لما فيها من فائدة دعوية</w:t>
      </w:r>
      <w:bookmarkEnd w:id="25"/>
      <w:bookmarkEnd w:id="26"/>
    </w:p>
    <w:p w:rsidR="00A41217" w:rsidRPr="001110FB" w:rsidRDefault="00A41217" w:rsidP="001110FB">
      <w:pPr>
        <w:pStyle w:val="NoSpacing"/>
        <w:widowControl w:val="0"/>
        <w:spacing w:line="216" w:lineRule="auto"/>
        <w:jc w:val="center"/>
        <w:rPr>
          <w:rFonts w:cs="الحوكمي عنوان2"/>
          <w:sz w:val="30"/>
          <w:szCs w:val="30"/>
          <w:rtl/>
        </w:rPr>
      </w:pPr>
      <w:r w:rsidRPr="001110FB">
        <w:rPr>
          <w:rFonts w:cs="الحوكمي عنوان2"/>
          <w:sz w:val="30"/>
          <w:szCs w:val="30"/>
          <w:rtl/>
        </w:rPr>
        <w:t>ترويج كتب ومقالات أو أشرطة فيديو يختلط فيها الحق والباطل أو يشوبها بعض المنكرات لما فيها من فائدة دعوية</w:t>
      </w:r>
    </w:p>
    <w:p w:rsidR="00A41217" w:rsidRPr="00BA409D" w:rsidRDefault="00A41217" w:rsidP="001110FB">
      <w:pPr>
        <w:pStyle w:val="NoSpacing"/>
        <w:widowControl w:val="0"/>
        <w:spacing w:before="120" w:line="216" w:lineRule="auto"/>
        <w:ind w:firstLine="425"/>
        <w:jc w:val="both"/>
        <w:rPr>
          <w:rFonts w:cs="Lotus Linotype"/>
          <w:szCs w:val="28"/>
          <w:rtl/>
        </w:rPr>
      </w:pPr>
      <w:r w:rsidRPr="00BA409D">
        <w:rPr>
          <w:rFonts w:cs="Lotus Linotype"/>
          <w:szCs w:val="28"/>
          <w:rtl/>
        </w:rPr>
        <w:t xml:space="preserve">كل عمل مركب يحتاج الحكم عليه إلى النظر في جهتيه أو جهاته والموازنة بينها لمعرفة أرجحها ومن ثم إلحاقه بحكمها. وقد يقال إن درء المفاسد أولى من جلب المصالح، وهو صحيح، ولكن هذا كما ذكر المحققون عند تساوي رتبتيهما. قال العز بن عبد السلام </w:t>
      </w:r>
      <w:r>
        <w:rPr>
          <w:rFonts w:cs="CTraditional Arabic"/>
          <w:rtl/>
        </w:rPr>
        <w:t>:</w:t>
      </w:r>
      <w:r w:rsidRPr="00BA409D">
        <w:rPr>
          <w:rFonts w:cs="Lotus Linotype"/>
          <w:szCs w:val="28"/>
          <w:rtl/>
        </w:rPr>
        <w:t xml:space="preserve">: </w:t>
      </w:r>
      <w:r w:rsidRPr="00D330BE">
        <w:rPr>
          <w:rFonts w:cs="Lotus Linotype"/>
          <w:color w:val="000000"/>
          <w:spacing w:val="-4"/>
          <w:sz w:val="40"/>
          <w:szCs w:val="32"/>
          <w:rtl/>
        </w:rPr>
        <w:t>«</w:t>
      </w:r>
      <w:r w:rsidRPr="00BA409D">
        <w:rPr>
          <w:rFonts w:cs="Lotus Linotype"/>
          <w:szCs w:val="28"/>
          <w:rtl/>
        </w:rPr>
        <w:t>تقديم المصالح الراجحة على المفاسد المرجوحة محمود وحسن، ودرء المفاسد الراجحة على المصالح المرجوحة محمود حسن.»</w:t>
      </w:r>
      <w:r w:rsidRPr="00394A4E">
        <w:rPr>
          <w:position w:val="4"/>
          <w:szCs w:val="34"/>
          <w:vertAlign w:val="superscript"/>
          <w:rtl/>
        </w:rPr>
        <w:t>(</w:t>
      </w:r>
      <w:r w:rsidRPr="00394A4E">
        <w:rPr>
          <w:rStyle w:val="FootnoteReference"/>
          <w:rFonts w:cs="Traditional Arabic"/>
          <w:position w:val="4"/>
          <w:szCs w:val="34"/>
          <w:rtl/>
        </w:rPr>
        <w:footnoteReference w:id="45"/>
      </w:r>
      <w:r w:rsidRPr="00394A4E">
        <w:rPr>
          <w:position w:val="4"/>
          <w:szCs w:val="34"/>
          <w:vertAlign w:val="superscript"/>
          <w:rtl/>
        </w:rPr>
        <w:t>)</w:t>
      </w:r>
      <w:r w:rsidRPr="00BA409D">
        <w:rPr>
          <w:rFonts w:cs="Lotus Linotype"/>
          <w:szCs w:val="28"/>
          <w:rtl/>
        </w:rPr>
        <w:t xml:space="preserve"> ولو كان كلما اختلط شر بخير تركنا الخير للشر لحصل لنا فوات خير كثير. ولو كان ذلك صالحًا لما بقي أهل العلم يحفظون قصيدة كعب </w:t>
      </w:r>
      <w:r w:rsidRPr="00D330BE">
        <w:rPr>
          <w:rFonts w:cs="Lotus Linotype"/>
          <w:color w:val="000000"/>
          <w:spacing w:val="-4"/>
          <w:sz w:val="40"/>
          <w:szCs w:val="32"/>
          <w:rtl/>
        </w:rPr>
        <w:t>«</w:t>
      </w:r>
      <w:r w:rsidRPr="00BA409D">
        <w:rPr>
          <w:rFonts w:cs="Lotus Linotype"/>
          <w:szCs w:val="28"/>
          <w:rtl/>
        </w:rPr>
        <w:t xml:space="preserve">بانت سعاد» ويحفظونها تلاميذهم ويعتنون بها شرحًا ومعارضة وتخميسًا حتى غدت من أهم قصائد المديح النبوي مع ما في أولها من الغزل الصريح. ولو كان ذلك صالحًا، لتركنا أكثر كتب أهل العلم، فلا يخلو أكثرها من خطأ أو اجتهاد غير سائغ أو حديث موضوع أو إسرائيليات منكرة أو بدعة أو رأي فاسد. </w:t>
      </w:r>
    </w:p>
    <w:p w:rsidR="00A41217" w:rsidRPr="00BA409D" w:rsidRDefault="00A41217" w:rsidP="001110FB">
      <w:pPr>
        <w:pStyle w:val="NoSpacing"/>
        <w:widowControl w:val="0"/>
        <w:spacing w:before="120" w:line="216" w:lineRule="auto"/>
        <w:ind w:firstLine="425"/>
        <w:jc w:val="both"/>
        <w:rPr>
          <w:rFonts w:cs="Lotus Linotype"/>
          <w:szCs w:val="28"/>
          <w:rtl/>
        </w:rPr>
      </w:pPr>
      <w:r w:rsidRPr="00BA409D">
        <w:rPr>
          <w:rFonts w:cs="Lotus Linotype"/>
          <w:szCs w:val="28"/>
          <w:rtl/>
        </w:rPr>
        <w:t xml:space="preserve">طبعًا هناك فرق بين ما يسهل التحرز من ضرره كالموسيقى التصويرية التي تكون في بعض الأفلام الوثائقية أو البرامج التعليمية وبين ما يصعب التحرز منه كالكتب التي يختلط فيها الحق بالباطل اختلاطًا يتعذر معه اجتناب الباطل، فالأول فأمره أهون، وقد صدر فيه قرار لمجمع فقهاء الشريعة بأمريكا في المؤتمر السادس بمونتريال </w:t>
      </w:r>
      <w:r w:rsidRPr="000C7E4D">
        <w:rPr>
          <w:rFonts w:ascii="Times New Roman" w:hAnsi="Times New Roman" w:cs="Times New Roman"/>
          <w:szCs w:val="30"/>
          <w:rtl/>
        </w:rPr>
        <w:t>–</w:t>
      </w:r>
      <w:r w:rsidRPr="00BA409D">
        <w:rPr>
          <w:rFonts w:ascii="Lotus Linotype" w:hAnsi="Lotus Linotype" w:cs="Lotus Linotype"/>
          <w:szCs w:val="28"/>
          <w:rtl/>
        </w:rPr>
        <w:t xml:space="preserve"> </w:t>
      </w:r>
      <w:r w:rsidRPr="00BA409D">
        <w:rPr>
          <w:rFonts w:cs="Lotus Linotype"/>
          <w:szCs w:val="28"/>
          <w:rtl/>
        </w:rPr>
        <w:t xml:space="preserve">كندا، في الفترة من 9 </w:t>
      </w:r>
      <w:r w:rsidRPr="000C7E4D">
        <w:rPr>
          <w:rFonts w:ascii="Times New Roman" w:hAnsi="Times New Roman" w:cs="Times New Roman"/>
          <w:szCs w:val="30"/>
          <w:rtl/>
        </w:rPr>
        <w:t>–</w:t>
      </w:r>
      <w:r w:rsidRPr="00BA409D">
        <w:rPr>
          <w:rFonts w:ascii="Lotus Linotype" w:hAnsi="Lotus Linotype" w:cs="Lotus Linotype"/>
          <w:szCs w:val="28"/>
          <w:rtl/>
        </w:rPr>
        <w:t xml:space="preserve"> </w:t>
      </w:r>
      <w:r w:rsidRPr="00BA409D">
        <w:rPr>
          <w:rFonts w:cs="Lotus Linotype"/>
          <w:szCs w:val="28"/>
          <w:rtl/>
        </w:rPr>
        <w:t xml:space="preserve">13 من شهر ذو القعدة 1430 الموافق 28 </w:t>
      </w:r>
      <w:r w:rsidRPr="000C7E4D">
        <w:rPr>
          <w:rFonts w:ascii="Times New Roman" w:hAnsi="Times New Roman" w:cs="Times New Roman"/>
          <w:szCs w:val="30"/>
          <w:rtl/>
        </w:rPr>
        <w:t>–</w:t>
      </w:r>
      <w:r w:rsidRPr="00BA409D">
        <w:rPr>
          <w:rFonts w:ascii="Lotus Linotype" w:hAnsi="Lotus Linotype" w:cs="Lotus Linotype"/>
          <w:szCs w:val="28"/>
          <w:rtl/>
        </w:rPr>
        <w:t xml:space="preserve"> </w:t>
      </w:r>
      <w:r w:rsidRPr="00BA409D">
        <w:rPr>
          <w:rFonts w:cs="Lotus Linotype"/>
          <w:szCs w:val="28"/>
          <w:rtl/>
        </w:rPr>
        <w:t xml:space="preserve">1 3 من شهر أكتوبر 2009، وهذا نصه: </w:t>
      </w:r>
    </w:p>
    <w:p w:rsidR="00A41217" w:rsidRPr="00BA409D" w:rsidRDefault="00A41217" w:rsidP="001110FB">
      <w:pPr>
        <w:pStyle w:val="NoSpacing"/>
        <w:widowControl w:val="0"/>
        <w:pBdr>
          <w:top w:val="single" w:sz="24" w:space="1" w:color="auto"/>
          <w:left w:val="single" w:sz="24" w:space="4" w:color="auto"/>
          <w:bottom w:val="single" w:sz="24" w:space="1" w:color="auto"/>
          <w:right w:val="single" w:sz="24" w:space="4" w:color="auto"/>
        </w:pBdr>
        <w:spacing w:before="120" w:line="216" w:lineRule="auto"/>
        <w:ind w:left="614" w:right="720"/>
        <w:jc w:val="lowKashida"/>
        <w:rPr>
          <w:rFonts w:cs="Lotus Linotype"/>
          <w:b/>
          <w:bCs/>
          <w:szCs w:val="28"/>
          <w:lang w:bidi="ar-SA"/>
        </w:rPr>
      </w:pPr>
      <w:r w:rsidRPr="00D330BE">
        <w:rPr>
          <w:rFonts w:cs="Lotus Linotype"/>
          <w:color w:val="000000"/>
          <w:spacing w:val="-4"/>
          <w:sz w:val="40"/>
          <w:rtl/>
        </w:rPr>
        <w:t>«</w:t>
      </w:r>
      <w:r w:rsidRPr="00BA409D">
        <w:rPr>
          <w:rFonts w:cs="Lotus Linotype"/>
          <w:b/>
          <w:bCs/>
          <w:szCs w:val="28"/>
          <w:rtl/>
        </w:rPr>
        <w:t xml:space="preserve">ويرخص في الانتفاع بما أعده الآخرون من البرامج العلمية والوثائقية أو التاريخية الهادفة أو الأفلام </w:t>
      </w:r>
      <w:r w:rsidRPr="00BA409D">
        <w:rPr>
          <w:rFonts w:cs="Lotus Linotype"/>
          <w:szCs w:val="28"/>
          <w:rtl/>
        </w:rPr>
        <w:t>الكرتونية</w:t>
      </w:r>
      <w:r w:rsidRPr="00BA409D">
        <w:rPr>
          <w:rFonts w:cs="Lotus Linotype"/>
          <w:b/>
          <w:bCs/>
          <w:szCs w:val="28"/>
          <w:rtl/>
        </w:rPr>
        <w:t xml:space="preserve"> النافعة بالنسبة للأطفال، وإن شابها شيء من المعازف التي لا تحرك الشهوات ولا تثير الغرائز، نظرا لعموم البلوى، وندرة البدائل المتاحة، وتفريقا بين السماع والاستماع، عندما لا تكون هذه الموسيقى المصاحبة مقصودة في ذاتها، ولا يصيخ إليها المشاهد بسمعه، ولا يلقي لها بالا، فهي أشبه بالفواصل الموسيقية في نشرات الأخبار التي اتفق السواد الأعظم على الترخص في سماعها ومشاهدتها، مع التنبيه على حكم المعازف وتقليلها ما أمكن.</w:t>
      </w:r>
      <w:r w:rsidRPr="00BA409D">
        <w:rPr>
          <w:rFonts w:cs="Lotus Linotype"/>
          <w:szCs w:val="28"/>
          <w:rtl/>
        </w:rPr>
        <w:t>»</w:t>
      </w:r>
    </w:p>
    <w:p w:rsidR="00A41217" w:rsidRPr="00BA409D" w:rsidRDefault="00A41217" w:rsidP="001110FB">
      <w:pPr>
        <w:pStyle w:val="NoSpacing"/>
        <w:widowControl w:val="0"/>
        <w:spacing w:before="120" w:line="216" w:lineRule="auto"/>
        <w:ind w:firstLine="425"/>
        <w:jc w:val="both"/>
        <w:rPr>
          <w:rFonts w:cs="Lotus Linotype"/>
          <w:szCs w:val="28"/>
          <w:rtl/>
        </w:rPr>
      </w:pPr>
      <w:r>
        <w:rPr>
          <w:rFonts w:cs="Lotus Linotype"/>
          <w:szCs w:val="28"/>
          <w:rtl/>
        </w:rPr>
        <w:br w:type="page"/>
      </w:r>
      <w:r w:rsidRPr="00BA409D">
        <w:rPr>
          <w:rFonts w:cs="Lotus Linotype"/>
          <w:szCs w:val="28"/>
          <w:rtl/>
        </w:rPr>
        <w:lastRenderedPageBreak/>
        <w:t xml:space="preserve">أما في الحالة الثانية، فالأصل عدم التلبيس على الناس في أمر دينهم، قال تعالى: </w:t>
      </w:r>
      <w:r w:rsidRPr="001110FB">
        <w:rPr>
          <w:rFonts w:ascii="QCF_BSML" w:hAnsi="QCF_BSML" w:cs="QCF_BSML"/>
          <w:color w:val="000000"/>
          <w:sz w:val="30"/>
          <w:szCs w:val="30"/>
          <w:rtl/>
        </w:rPr>
        <w:t xml:space="preserve">ﮋ </w:t>
      </w:r>
      <w:r w:rsidRPr="001110FB">
        <w:rPr>
          <w:rFonts w:ascii="QCF_P181" w:hAnsi="QCF_P181" w:cs="QCF_P181"/>
          <w:color w:val="000000"/>
          <w:sz w:val="30"/>
          <w:szCs w:val="30"/>
          <w:rtl/>
        </w:rPr>
        <w:t xml:space="preserve">ﮏ ﮐ ﮑ ﮒ ﮓ </w:t>
      </w:r>
      <w:r w:rsidRPr="001110FB">
        <w:rPr>
          <w:rFonts w:ascii="QCF_BSML" w:hAnsi="QCF_BSML" w:cs="QCF_BSML"/>
          <w:color w:val="000000"/>
          <w:sz w:val="30"/>
          <w:szCs w:val="30"/>
          <w:rtl/>
        </w:rPr>
        <w:t>ﮊ</w:t>
      </w:r>
      <w:r w:rsidRPr="00BA409D">
        <w:rPr>
          <w:rFonts w:cs="Lotus Linotype"/>
          <w:b/>
          <w:bCs/>
          <w:szCs w:val="28"/>
          <w:rtl/>
        </w:rPr>
        <w:t xml:space="preserve"> </w:t>
      </w:r>
      <w:r w:rsidRPr="00BA409D">
        <w:rPr>
          <w:rFonts w:cs="Lotus Linotype"/>
          <w:szCs w:val="28"/>
          <w:rtl/>
        </w:rPr>
        <w:t xml:space="preserve">[الأنفال: 37] لكن كما تقدم، ينظر في الخير المرجو من هذه الكتب والأشرطة والشر المحذور، فإن رجح جانب الخير ولم تكن بدائل أصفى، يجتهد في بيان مواطن الخطر ما أمكن، على أن يفرق بين المبتدي والمتوسط والمنتهي، فيدل الأول على ما كان صفوًا، ويعرض الثاني إلى ما يميزه، ويترك الثالث فمعه سقاؤه وحذاؤه. </w:t>
      </w:r>
    </w:p>
    <w:p w:rsidR="00A41217" w:rsidRPr="00BA409D" w:rsidRDefault="00A41217" w:rsidP="001110FB">
      <w:pPr>
        <w:pStyle w:val="NoSpacing"/>
        <w:widowControl w:val="0"/>
        <w:spacing w:before="120" w:line="216" w:lineRule="auto"/>
        <w:ind w:firstLine="425"/>
        <w:jc w:val="both"/>
        <w:rPr>
          <w:rFonts w:cs="Lotus Linotype"/>
          <w:szCs w:val="28"/>
          <w:rtl/>
        </w:rPr>
      </w:pPr>
      <w:r w:rsidRPr="00BA409D">
        <w:rPr>
          <w:rFonts w:cs="Lotus Linotype"/>
          <w:szCs w:val="28"/>
          <w:rtl/>
        </w:rPr>
        <w:t>بقي أن اختلاف أحوال الناس وتوافر المعلومات في زماننا جعل جانب التلقيح الوقائي أرجح من الحمية الكاملة.</w:t>
      </w:r>
    </w:p>
    <w:p w:rsidR="00A41217" w:rsidRPr="001110FB" w:rsidRDefault="00A41217" w:rsidP="001110FB">
      <w:pPr>
        <w:pStyle w:val="Heading2"/>
        <w:keepNext w:val="0"/>
        <w:keepLines w:val="0"/>
        <w:widowControl w:val="0"/>
        <w:spacing w:before="240" w:line="216" w:lineRule="auto"/>
        <w:rPr>
          <w:rFonts w:cs="الحوكمي عنوان2"/>
          <w:b w:val="0"/>
          <w:bCs w:val="0"/>
          <w:sz w:val="28"/>
          <w:szCs w:val="28"/>
          <w:rtl/>
        </w:rPr>
      </w:pPr>
      <w:bookmarkStart w:id="27" w:name="_Toc444382241"/>
      <w:r w:rsidRPr="001110FB">
        <w:rPr>
          <w:rFonts w:cs="الحوكمي عنوان2"/>
          <w:b w:val="0"/>
          <w:bCs w:val="0"/>
          <w:sz w:val="28"/>
          <w:szCs w:val="28"/>
          <w:rtl/>
        </w:rPr>
        <w:t>تطبيقات عملية:</w:t>
      </w:r>
      <w:bookmarkEnd w:id="27"/>
    </w:p>
    <w:p w:rsidR="00A41217" w:rsidRPr="001110FB" w:rsidRDefault="00A41217" w:rsidP="001110FB">
      <w:pPr>
        <w:pStyle w:val="Heading3"/>
        <w:rPr>
          <w:rFonts w:cs="الحوكمي عنوان2"/>
          <w:b w:val="0"/>
          <w:bCs w:val="0"/>
          <w:sz w:val="28"/>
          <w:szCs w:val="28"/>
          <w:rtl/>
        </w:rPr>
      </w:pPr>
      <w:bookmarkStart w:id="28" w:name="_Toc444382242"/>
      <w:r w:rsidRPr="001110FB">
        <w:rPr>
          <w:rFonts w:cs="الحوكمي عنوان2"/>
          <w:b w:val="0"/>
          <w:bCs w:val="0"/>
          <w:sz w:val="28"/>
          <w:szCs w:val="28"/>
          <w:rtl/>
        </w:rPr>
        <w:t>مسلسل عمر بن الخطاب</w:t>
      </w:r>
      <w:r>
        <w:rPr>
          <w:rFonts w:cs="الحوكمي عنوان2"/>
          <w:b w:val="0"/>
          <w:bCs w:val="0"/>
          <w:sz w:val="28"/>
          <w:szCs w:val="28"/>
          <w:rtl/>
        </w:rPr>
        <w:t>:</w:t>
      </w:r>
      <w:bookmarkEnd w:id="28"/>
    </w:p>
    <w:p w:rsidR="00A41217" w:rsidRPr="00BA409D" w:rsidRDefault="00A41217" w:rsidP="001110FB">
      <w:pPr>
        <w:pStyle w:val="NoSpacing"/>
        <w:widowControl w:val="0"/>
        <w:spacing w:before="120" w:line="216" w:lineRule="auto"/>
        <w:ind w:firstLine="425"/>
        <w:jc w:val="both"/>
        <w:rPr>
          <w:rFonts w:cs="Lotus Linotype"/>
          <w:szCs w:val="28"/>
          <w:rtl/>
        </w:rPr>
      </w:pPr>
      <w:r w:rsidRPr="00BA409D">
        <w:rPr>
          <w:rFonts w:cs="Lotus Linotype"/>
          <w:szCs w:val="28"/>
          <w:rtl/>
        </w:rPr>
        <w:t xml:space="preserve">في بعض الأوقات نسأل عن مشاهدة مسلسل عمر بن الخطاب المعروف، وفيه ما فيه مما أنكره أهل العلم، ولكننا قد وقفنا على بعضه ونعتقد أن مشاهده لن ينتهي من حلقاته حتى يقع في قلبه - إن كان منصفًا - حب عمر </w:t>
      </w:r>
      <w:r w:rsidRPr="000C7E4D">
        <w:rPr>
          <w:rFonts w:ascii="Lotus Linotype" w:hAnsi="Lotus Linotype" w:cs="Lotus Linotype"/>
        </w:rPr>
        <w:sym w:font="AGA Arabesque" w:char="F074"/>
      </w:r>
      <w:r w:rsidRPr="00BA409D">
        <w:rPr>
          <w:rFonts w:cs="Lotus Linotype"/>
          <w:szCs w:val="28"/>
          <w:rtl/>
        </w:rPr>
        <w:t xml:space="preserve"> وتعظيمه، فينظر في حال السائل فإن كان طفلًا أو كان ممن لا يرجى منهم أن يقرؤوا أو يسمعوا سيرة عمر أو يتأثروا بها إلا بهذه الطريقة، فيؤذن لمثله في مشاهدة المسلسل، وقد قال ابن تيمية </w:t>
      </w:r>
      <w:r>
        <w:rPr>
          <w:rFonts w:cs="CTraditional Arabic"/>
          <w:rtl/>
        </w:rPr>
        <w:t>:</w:t>
      </w:r>
      <w:r w:rsidRPr="00BA409D">
        <w:rPr>
          <w:rFonts w:cs="Lotus Linotype"/>
          <w:szCs w:val="28"/>
          <w:rtl/>
        </w:rPr>
        <w:t xml:space="preserve">: </w:t>
      </w:r>
      <w:r w:rsidRPr="00D330BE">
        <w:rPr>
          <w:rFonts w:cs="Lotus Linotype"/>
          <w:color w:val="000000"/>
          <w:spacing w:val="-4"/>
          <w:sz w:val="40"/>
          <w:szCs w:val="32"/>
          <w:rtl/>
        </w:rPr>
        <w:t>«</w:t>
      </w:r>
      <w:r w:rsidRPr="00BA409D">
        <w:rPr>
          <w:rFonts w:cs="Lotus Linotype"/>
          <w:szCs w:val="28"/>
          <w:rtl/>
        </w:rPr>
        <w:t>يحسن من بعض الناس ما يستقبح من المؤمن المسدد. »</w:t>
      </w:r>
      <w:r w:rsidRPr="00394A4E">
        <w:rPr>
          <w:position w:val="4"/>
          <w:szCs w:val="34"/>
          <w:vertAlign w:val="superscript"/>
          <w:rtl/>
        </w:rPr>
        <w:t>(</w:t>
      </w:r>
      <w:r w:rsidRPr="00394A4E">
        <w:rPr>
          <w:rStyle w:val="FootnoteReference"/>
          <w:rFonts w:cs="Traditional Arabic"/>
          <w:position w:val="4"/>
          <w:szCs w:val="34"/>
          <w:rtl/>
        </w:rPr>
        <w:footnoteReference w:id="46"/>
      </w:r>
      <w:r w:rsidRPr="00394A4E">
        <w:rPr>
          <w:position w:val="4"/>
          <w:szCs w:val="34"/>
          <w:vertAlign w:val="superscript"/>
          <w:rtl/>
        </w:rPr>
        <w:t>)</w:t>
      </w:r>
      <w:r w:rsidRPr="00BA409D">
        <w:rPr>
          <w:rFonts w:cs="Lotus Linotype"/>
          <w:szCs w:val="28"/>
          <w:rtl/>
        </w:rPr>
        <w:t xml:space="preserve"> </w:t>
      </w:r>
    </w:p>
    <w:p w:rsidR="00A41217" w:rsidRPr="001110FB" w:rsidRDefault="00A41217" w:rsidP="001110FB">
      <w:pPr>
        <w:pStyle w:val="Heading3"/>
        <w:rPr>
          <w:rFonts w:cs="الحوكمي عنوان2"/>
          <w:b w:val="0"/>
          <w:bCs w:val="0"/>
          <w:sz w:val="28"/>
          <w:szCs w:val="28"/>
          <w:rtl/>
        </w:rPr>
      </w:pPr>
      <w:bookmarkStart w:id="29" w:name="_Toc444382243"/>
      <w:r w:rsidRPr="001110FB">
        <w:rPr>
          <w:rFonts w:cs="الحوكمي عنوان2"/>
          <w:b w:val="0"/>
          <w:bCs w:val="0"/>
          <w:sz w:val="28"/>
          <w:szCs w:val="28"/>
          <w:rtl/>
        </w:rPr>
        <w:t>كتب بعض المخالفين من غير المسلمين في الرد على الملحدين:</w:t>
      </w:r>
      <w:bookmarkEnd w:id="29"/>
    </w:p>
    <w:p w:rsidR="00A41217" w:rsidRPr="00BA409D" w:rsidRDefault="00A41217" w:rsidP="001110FB">
      <w:pPr>
        <w:pStyle w:val="NoSpacing"/>
        <w:widowControl w:val="0"/>
        <w:spacing w:before="120" w:line="216" w:lineRule="auto"/>
        <w:ind w:firstLine="425"/>
        <w:jc w:val="both"/>
        <w:rPr>
          <w:rFonts w:cs="Lotus Linotype"/>
          <w:szCs w:val="28"/>
          <w:rtl/>
        </w:rPr>
      </w:pPr>
      <w:r w:rsidRPr="00BA409D">
        <w:rPr>
          <w:rFonts w:cs="Lotus Linotype"/>
          <w:szCs w:val="28"/>
          <w:rtl/>
        </w:rPr>
        <w:t xml:space="preserve">هناك كتب كتبها فلاسفة وعلماء من غير المسلمين في الرد على الملحدين، ومنها ما هو نافع ككتاب أنتوني فلو </w:t>
      </w:r>
      <w:r w:rsidRPr="00D330BE">
        <w:rPr>
          <w:rFonts w:cs="Lotus Linotype"/>
          <w:color w:val="000000"/>
          <w:spacing w:val="-4"/>
          <w:sz w:val="40"/>
          <w:szCs w:val="32"/>
          <w:rtl/>
        </w:rPr>
        <w:t>«</w:t>
      </w:r>
      <w:r w:rsidRPr="00BA409D">
        <w:rPr>
          <w:rFonts w:cs="Lotus Linotype"/>
          <w:szCs w:val="28"/>
          <w:rtl/>
        </w:rPr>
        <w:t>هناك إله»</w:t>
      </w:r>
      <w:r w:rsidRPr="00394A4E">
        <w:rPr>
          <w:position w:val="4"/>
          <w:szCs w:val="34"/>
          <w:vertAlign w:val="superscript"/>
          <w:rtl/>
        </w:rPr>
        <w:t>(</w:t>
      </w:r>
      <w:r w:rsidRPr="00394A4E">
        <w:rPr>
          <w:rStyle w:val="FootnoteReference"/>
          <w:rFonts w:cs="Traditional Arabic"/>
          <w:position w:val="4"/>
          <w:szCs w:val="34"/>
          <w:rtl/>
        </w:rPr>
        <w:footnoteReference w:id="47"/>
      </w:r>
      <w:r w:rsidRPr="00394A4E">
        <w:rPr>
          <w:position w:val="4"/>
          <w:szCs w:val="34"/>
          <w:vertAlign w:val="superscript"/>
          <w:rtl/>
        </w:rPr>
        <w:t>)</w:t>
      </w:r>
      <w:r w:rsidRPr="00BA409D">
        <w:rPr>
          <w:rFonts w:cs="Lotus Linotype"/>
          <w:szCs w:val="28"/>
          <w:rtl/>
        </w:rPr>
        <w:t xml:space="preserve"> فمثل هذه يقرؤها المنتهي وحده وربما بعض المتوسطين، ولكن غيرهم يحتاج إلى معلم حاذق بصير يبين له الصحيح المقبول من الضعيف المردود. والمتوسط هنا لا يشترط أن يكون كذلك في كل العلوم ولكن في العلوم التي تساعده على التمييز في موضوع الكتاب.</w:t>
      </w:r>
    </w:p>
    <w:p w:rsidR="00A41217" w:rsidRPr="001110FB" w:rsidRDefault="00A41217" w:rsidP="001110FB">
      <w:pPr>
        <w:pStyle w:val="NoSpacing"/>
        <w:widowControl w:val="0"/>
        <w:spacing w:line="216" w:lineRule="auto"/>
        <w:jc w:val="center"/>
        <w:rPr>
          <w:rFonts w:cs="DecoType Naskh"/>
          <w:rtl/>
        </w:rPr>
      </w:pPr>
      <w:r w:rsidRPr="00BA409D">
        <w:rPr>
          <w:rFonts w:cs="Lotus Linotype"/>
          <w:szCs w:val="28"/>
          <w:rtl/>
        </w:rPr>
        <w:br w:type="page"/>
      </w:r>
      <w:r w:rsidRPr="001110FB">
        <w:rPr>
          <w:rFonts w:cs="DecoType Naskh"/>
          <w:rtl/>
        </w:rPr>
        <w:lastRenderedPageBreak/>
        <w:t>المطلب الرابع</w:t>
      </w:r>
    </w:p>
    <w:p w:rsidR="00A41217" w:rsidRPr="001110FB" w:rsidRDefault="00A41217" w:rsidP="001110FB">
      <w:pPr>
        <w:pStyle w:val="NoSpacing"/>
        <w:widowControl w:val="0"/>
        <w:spacing w:line="216" w:lineRule="auto"/>
        <w:jc w:val="center"/>
        <w:outlineLvl w:val="0"/>
        <w:rPr>
          <w:rFonts w:cs="الحوكمي عنوان2"/>
          <w:color w:val="FFFFFF"/>
          <w:sz w:val="16"/>
          <w:szCs w:val="16"/>
          <w:rtl/>
        </w:rPr>
      </w:pPr>
      <w:bookmarkStart w:id="30" w:name="_Toc441671724"/>
      <w:bookmarkStart w:id="31" w:name="_Toc444382244"/>
      <w:r w:rsidRPr="001110FB">
        <w:rPr>
          <w:rFonts w:cs="الحوكمي عنوان2"/>
          <w:color w:val="FFFFFF"/>
          <w:sz w:val="16"/>
          <w:szCs w:val="16"/>
          <w:rtl/>
        </w:rPr>
        <w:t>المطلب الرابع: نازلة إباحة زواج المثليين، والموقف الصحيح تجاه هذه النازلة فقهيا ودعويا وسياسيا وإعلاميا وقانونيا</w:t>
      </w:r>
      <w:bookmarkEnd w:id="30"/>
      <w:bookmarkEnd w:id="31"/>
    </w:p>
    <w:p w:rsidR="00A41217" w:rsidRPr="001110FB" w:rsidRDefault="00A41217" w:rsidP="001110FB">
      <w:pPr>
        <w:pStyle w:val="NoSpacing"/>
        <w:widowControl w:val="0"/>
        <w:spacing w:line="216" w:lineRule="auto"/>
        <w:jc w:val="center"/>
        <w:rPr>
          <w:rFonts w:cs="الحوكمي عنوان2"/>
          <w:sz w:val="30"/>
          <w:szCs w:val="30"/>
          <w:rtl/>
        </w:rPr>
      </w:pPr>
      <w:r w:rsidRPr="001110FB">
        <w:rPr>
          <w:rFonts w:cs="الحوكمي عنوان2"/>
          <w:sz w:val="30"/>
          <w:szCs w:val="30"/>
          <w:rtl/>
        </w:rPr>
        <w:t>نازلة إباحة زواج المثليين، والموقف الصحيح تجاه هذه النازلة فقهيا ودعويا وسياسيا وإعلاميا وقانونيا</w:t>
      </w:r>
    </w:p>
    <w:p w:rsidR="00A41217" w:rsidRPr="00BA409D" w:rsidRDefault="00A41217" w:rsidP="001110FB">
      <w:pPr>
        <w:pStyle w:val="NoSpacing"/>
        <w:widowControl w:val="0"/>
        <w:spacing w:before="120" w:line="216" w:lineRule="auto"/>
        <w:ind w:firstLine="425"/>
        <w:jc w:val="both"/>
        <w:rPr>
          <w:rFonts w:cs="Lotus Linotype"/>
          <w:szCs w:val="28"/>
          <w:rtl/>
        </w:rPr>
      </w:pPr>
      <w:r w:rsidRPr="00BA409D">
        <w:rPr>
          <w:rFonts w:cs="Lotus Linotype"/>
          <w:szCs w:val="28"/>
          <w:rtl/>
        </w:rPr>
        <w:t xml:space="preserve">لعل قائلًا يقول أونحتاج إلى مناقشة موضوع المثلية من الناحية الفقهية؟ طبعًا إن كان المقصود تحريم إتيان الرجل للرجل والمرأة للمرأة، فلا حاجة إلى مناقشة هذا الأمر، ولن ننجر إلى ذلك إلا لرفع شبهة أو التباس عن جاهل أو حديث عهد بإسلام، وذلك حتى لا يصير الأمر موضع مناقشة وأخذ ورد. </w:t>
      </w:r>
    </w:p>
    <w:p w:rsidR="00A41217" w:rsidRPr="00BA409D" w:rsidRDefault="00A41217" w:rsidP="000C7E4D">
      <w:pPr>
        <w:pStyle w:val="NoSpacing"/>
        <w:widowControl w:val="0"/>
        <w:spacing w:before="120" w:line="216" w:lineRule="auto"/>
        <w:rPr>
          <w:rFonts w:cs="Lotus Linotype"/>
          <w:b/>
          <w:bCs/>
          <w:szCs w:val="28"/>
          <w:rtl/>
        </w:rPr>
      </w:pPr>
      <w:r w:rsidRPr="00BA409D">
        <w:rPr>
          <w:rFonts w:cs="Lotus Linotype"/>
          <w:b/>
          <w:bCs/>
          <w:szCs w:val="28"/>
          <w:rtl/>
        </w:rPr>
        <w:t>أما بالنسبة لتعاطي المسلمين، والدعاة منهم خصوصًا، مع هذه الظاهرة، فأظن أننا ينبغي أن نراعي أمرين اثنين:</w:t>
      </w:r>
    </w:p>
    <w:p w:rsidR="00A41217" w:rsidRPr="00BA409D" w:rsidRDefault="00A41217" w:rsidP="001110FB">
      <w:pPr>
        <w:pStyle w:val="NoSpacing"/>
        <w:widowControl w:val="0"/>
        <w:numPr>
          <w:ilvl w:val="0"/>
          <w:numId w:val="20"/>
        </w:numPr>
        <w:tabs>
          <w:tab w:val="clear" w:pos="1440"/>
          <w:tab w:val="num" w:pos="360"/>
        </w:tabs>
        <w:spacing w:before="120" w:line="216" w:lineRule="auto"/>
        <w:ind w:left="360"/>
        <w:rPr>
          <w:rFonts w:cs="Lotus Linotype"/>
          <w:b/>
          <w:bCs/>
          <w:szCs w:val="28"/>
          <w:rtl/>
        </w:rPr>
      </w:pPr>
      <w:r w:rsidRPr="00BA409D">
        <w:rPr>
          <w:rFonts w:cs="Lotus Linotype"/>
          <w:b/>
          <w:bCs/>
          <w:szCs w:val="28"/>
          <w:rtl/>
        </w:rPr>
        <w:t>وجوب البيان بصدق وأمانة وفطنة وكياسة</w:t>
      </w:r>
    </w:p>
    <w:p w:rsidR="00A41217" w:rsidRPr="00BA409D" w:rsidRDefault="00A41217" w:rsidP="001110FB">
      <w:pPr>
        <w:pStyle w:val="NoSpacing"/>
        <w:widowControl w:val="0"/>
        <w:numPr>
          <w:ilvl w:val="0"/>
          <w:numId w:val="20"/>
        </w:numPr>
        <w:tabs>
          <w:tab w:val="clear" w:pos="1440"/>
          <w:tab w:val="num" w:pos="360"/>
        </w:tabs>
        <w:spacing w:before="120" w:line="216" w:lineRule="auto"/>
        <w:ind w:left="360"/>
        <w:rPr>
          <w:rFonts w:cs="Lotus Linotype"/>
          <w:b/>
          <w:bCs/>
          <w:szCs w:val="28"/>
          <w:rtl/>
        </w:rPr>
      </w:pPr>
      <w:r w:rsidRPr="00BA409D">
        <w:rPr>
          <w:rFonts w:cs="Lotus Linotype"/>
          <w:b/>
          <w:bCs/>
          <w:szCs w:val="28"/>
          <w:rtl/>
        </w:rPr>
        <w:t xml:space="preserve">عدم التورط في الصراع الإعلامي والقانوني والسياسي </w:t>
      </w:r>
    </w:p>
    <w:p w:rsidR="00A41217" w:rsidRPr="001110FB" w:rsidRDefault="00A41217" w:rsidP="001110FB">
      <w:pPr>
        <w:pStyle w:val="Heading2"/>
        <w:keepNext w:val="0"/>
        <w:keepLines w:val="0"/>
        <w:widowControl w:val="0"/>
        <w:spacing w:before="240" w:line="216" w:lineRule="auto"/>
        <w:rPr>
          <w:rFonts w:cs="الحوكمي عنوان2"/>
          <w:b w:val="0"/>
          <w:bCs w:val="0"/>
          <w:sz w:val="28"/>
          <w:szCs w:val="28"/>
          <w:rtl/>
        </w:rPr>
      </w:pPr>
      <w:bookmarkStart w:id="32" w:name="_Toc444382245"/>
      <w:r>
        <w:rPr>
          <w:rFonts w:cs="الحوكمي عنوان2"/>
          <w:b w:val="0"/>
          <w:bCs w:val="0"/>
          <w:sz w:val="28"/>
          <w:szCs w:val="28"/>
          <w:rtl/>
        </w:rPr>
        <w:t>أول</w:t>
      </w:r>
      <w:r w:rsidRPr="001110FB">
        <w:rPr>
          <w:rFonts w:cs="الحوكمي عنوان2"/>
          <w:b w:val="0"/>
          <w:bCs w:val="0"/>
          <w:sz w:val="28"/>
          <w:szCs w:val="28"/>
          <w:rtl/>
        </w:rPr>
        <w:t>ا</w:t>
      </w:r>
      <w:r>
        <w:rPr>
          <w:rFonts w:cs="الحوكمي عنوان2"/>
          <w:b w:val="0"/>
          <w:bCs w:val="0"/>
          <w:sz w:val="28"/>
          <w:szCs w:val="28"/>
          <w:rtl/>
        </w:rPr>
        <w:t>ً</w:t>
      </w:r>
      <w:r w:rsidRPr="001110FB">
        <w:rPr>
          <w:rFonts w:cs="الحوكمي عنوان2"/>
          <w:b w:val="0"/>
          <w:bCs w:val="0"/>
          <w:sz w:val="28"/>
          <w:szCs w:val="28"/>
          <w:rtl/>
        </w:rPr>
        <w:t xml:space="preserve"> وجوب البيان:</w:t>
      </w:r>
      <w:bookmarkEnd w:id="32"/>
      <w:r w:rsidRPr="001110FB">
        <w:rPr>
          <w:rFonts w:cs="الحوكمي عنوان2"/>
          <w:b w:val="0"/>
          <w:bCs w:val="0"/>
          <w:sz w:val="28"/>
          <w:szCs w:val="28"/>
          <w:rtl/>
        </w:rPr>
        <w:t xml:space="preserve"> </w:t>
      </w:r>
    </w:p>
    <w:p w:rsidR="00A41217" w:rsidRPr="00BA409D" w:rsidRDefault="00A41217" w:rsidP="00DB08BD">
      <w:pPr>
        <w:pStyle w:val="NoSpacing"/>
        <w:widowControl w:val="0"/>
        <w:spacing w:line="216" w:lineRule="auto"/>
        <w:ind w:firstLine="425"/>
        <w:jc w:val="both"/>
        <w:rPr>
          <w:rFonts w:cs="Lotus Linotype"/>
          <w:szCs w:val="28"/>
          <w:rtl/>
        </w:rPr>
      </w:pPr>
      <w:r w:rsidRPr="00BA409D">
        <w:rPr>
          <w:rFonts w:cs="Lotus Linotype"/>
          <w:szCs w:val="28"/>
          <w:rtl/>
        </w:rPr>
        <w:t xml:space="preserve">قال الله </w:t>
      </w:r>
      <w:r w:rsidRPr="001110FB">
        <w:rPr>
          <w:rFonts w:ascii="Lotus Linotype" w:hAnsi="Lotus Linotype" w:cs="Lotus Linotype"/>
        </w:rPr>
        <w:sym w:font="AGA Arabesque" w:char="F049"/>
      </w:r>
      <w:r w:rsidRPr="00BA409D">
        <w:rPr>
          <w:rFonts w:cs="Lotus Linotype"/>
          <w:szCs w:val="28"/>
          <w:rtl/>
        </w:rPr>
        <w:t xml:space="preserve">: </w:t>
      </w:r>
      <w:r w:rsidRPr="001110FB">
        <w:rPr>
          <w:rFonts w:ascii="QCF_BSML" w:hAnsi="QCF_BSML" w:cs="QCF_BSML"/>
          <w:color w:val="000000"/>
          <w:sz w:val="30"/>
          <w:szCs w:val="30"/>
          <w:rtl/>
        </w:rPr>
        <w:t xml:space="preserve">ﮋ </w:t>
      </w:r>
      <w:r w:rsidRPr="001110FB">
        <w:rPr>
          <w:rFonts w:ascii="QCF_P075" w:hAnsi="QCF_P075" w:cs="QCF_P075"/>
          <w:color w:val="000000"/>
          <w:sz w:val="30"/>
          <w:szCs w:val="30"/>
          <w:rtl/>
        </w:rPr>
        <w:t xml:space="preserve">ﭑ ﭒ ﭓ ﭔ ﭕ ﭖ ﭗ ﭘ ﭙ      ﭚ ﭛ ﭜ ﭝ ﭞ ﭟ ﭠ ﭡ   ﭢﭣ ﭤ ﭥ ﭦ </w:t>
      </w:r>
      <w:r w:rsidRPr="001110FB">
        <w:rPr>
          <w:rFonts w:ascii="QCF_BSML" w:hAnsi="QCF_BSML" w:cs="QCF_BSML"/>
          <w:color w:val="000000"/>
          <w:sz w:val="30"/>
          <w:szCs w:val="30"/>
          <w:rtl/>
        </w:rPr>
        <w:t>ﮊ</w:t>
      </w:r>
      <w:r w:rsidRPr="001110FB">
        <w:rPr>
          <w:rFonts w:cs="Lotus Linotype"/>
          <w:sz w:val="32"/>
          <w:szCs w:val="26"/>
          <w:rtl/>
        </w:rPr>
        <w:t>[آل عمران: 187]</w:t>
      </w:r>
      <w:r w:rsidRPr="00BA409D">
        <w:rPr>
          <w:rFonts w:cs="Lotus Linotype"/>
          <w:szCs w:val="28"/>
          <w:rtl/>
        </w:rPr>
        <w:t xml:space="preserve"> إن الكذب على الله مهلكة لكل متجرئ، وعدم البيان من أهل العلم عند وجود المقتضي هو خيانة للأمانة التي حملوها والميثاق الذي أخذ منهم. يضاف إلى ذلك أن المحافظين من غير المسلمين سينظرون إلى خطاب هؤلاء على أنه محض نفاق، وسيترسخ لديهم انطباع أننا لا نبالي بصلاح المجتمع ولا نسعى لإصلاحه، بل نعنى فقط بمصالح أقليتنا. </w:t>
      </w:r>
    </w:p>
    <w:p w:rsidR="00A41217" w:rsidRPr="00BA409D" w:rsidRDefault="00A41217" w:rsidP="00DB08BD">
      <w:pPr>
        <w:pStyle w:val="NoSpacing"/>
        <w:widowControl w:val="0"/>
        <w:spacing w:line="216" w:lineRule="auto"/>
        <w:ind w:firstLine="425"/>
        <w:jc w:val="both"/>
        <w:rPr>
          <w:rFonts w:cs="Lotus Linotype"/>
          <w:szCs w:val="28"/>
          <w:rtl/>
        </w:rPr>
      </w:pPr>
      <w:r w:rsidRPr="00BA409D">
        <w:rPr>
          <w:rFonts w:cs="Lotus Linotype"/>
          <w:szCs w:val="28"/>
          <w:rtl/>
        </w:rPr>
        <w:t xml:space="preserve">إنه قد يتصور أحيانًا أن يخطئ المرء فيؤخر البيان عن وقت الحاجة، ولكن الذي لا يتصور من مؤمن عاقل هو أن يكذب على الله. قال الله </w:t>
      </w:r>
      <w:r w:rsidRPr="00A71CF0">
        <w:rPr>
          <w:rFonts w:ascii="Lotus Linotype" w:hAnsi="Lotus Linotype" w:cs="Lotus Linotype"/>
        </w:rPr>
        <w:sym w:font="AGA Arabesque" w:char="F049"/>
      </w:r>
      <w:r w:rsidRPr="00BA409D">
        <w:rPr>
          <w:rFonts w:cs="Lotus Linotype"/>
          <w:szCs w:val="28"/>
          <w:rtl/>
        </w:rPr>
        <w:t xml:space="preserve">: </w:t>
      </w:r>
      <w:r w:rsidRPr="00A71CF0">
        <w:rPr>
          <w:rFonts w:ascii="QCF_BSML" w:hAnsi="QCF_BSML" w:cs="QCF_BSML"/>
          <w:color w:val="000000"/>
          <w:sz w:val="30"/>
          <w:szCs w:val="30"/>
          <w:rtl/>
        </w:rPr>
        <w:t xml:space="preserve">ﮋ </w:t>
      </w:r>
      <w:r w:rsidRPr="00A71CF0">
        <w:rPr>
          <w:rFonts w:ascii="QCF_P280" w:hAnsi="QCF_P280" w:cs="QCF_P280"/>
          <w:color w:val="000000"/>
          <w:sz w:val="30"/>
          <w:szCs w:val="30"/>
          <w:rtl/>
        </w:rPr>
        <w:t xml:space="preserve">ﯛ   ﯜ ﯝ ﯞ ﯟ ﯠ  ﯡ   ﯢ </w:t>
      </w:r>
      <w:r w:rsidRPr="00A71CF0">
        <w:rPr>
          <w:rFonts w:ascii="QCF_BSML" w:hAnsi="QCF_BSML" w:cs="QCF_BSML"/>
          <w:color w:val="000000"/>
          <w:sz w:val="30"/>
          <w:szCs w:val="30"/>
          <w:rtl/>
        </w:rPr>
        <w:t>ﮊ</w:t>
      </w:r>
      <w:r w:rsidRPr="00A71CF0">
        <w:rPr>
          <w:rFonts w:cs="Lotus Linotype"/>
          <w:sz w:val="32"/>
          <w:szCs w:val="26"/>
          <w:rtl/>
        </w:rPr>
        <w:t>[النحل: 116]</w:t>
      </w:r>
    </w:p>
    <w:p w:rsidR="00A41217" w:rsidRPr="00BA409D" w:rsidRDefault="00A41217" w:rsidP="00DB08BD">
      <w:pPr>
        <w:pStyle w:val="NoSpacing"/>
        <w:widowControl w:val="0"/>
        <w:spacing w:line="216" w:lineRule="auto"/>
        <w:ind w:firstLine="425"/>
        <w:jc w:val="both"/>
        <w:rPr>
          <w:rFonts w:cs="Lotus Linotype"/>
          <w:szCs w:val="28"/>
          <w:rtl/>
        </w:rPr>
      </w:pPr>
      <w:r w:rsidRPr="00BA409D">
        <w:rPr>
          <w:rFonts w:cs="Lotus Linotype"/>
          <w:szCs w:val="28"/>
          <w:rtl/>
        </w:rPr>
        <w:t xml:space="preserve">لكن ينبغي أيضًا أن يعلم المبلغون عن الله أنه ليس كل ما يعلم يقال في كل مكان وزمان وحال و </w:t>
      </w:r>
      <w:r w:rsidRPr="00A73D65">
        <w:rPr>
          <w:rFonts w:cs="Lotus Linotype"/>
          <w:color w:val="000000"/>
          <w:spacing w:val="-4"/>
          <w:sz w:val="40"/>
          <w:szCs w:val="32"/>
          <w:rtl/>
        </w:rPr>
        <w:t>«</w:t>
      </w:r>
      <w:r w:rsidRPr="00BA409D">
        <w:rPr>
          <w:rFonts w:cs="Lotus Linotype"/>
          <w:szCs w:val="28"/>
          <w:rtl/>
        </w:rPr>
        <w:t>ما أنت بمحدث قوما حديثا لا تبلغه عقولهم، إلا كان لبعضهم فتنة»، وعدم جواز تأخير البيان عن وقت الحاجة يعني جواز تأخيره إلى وقتها. إن هناك ما يقال وما يترك وما يقال في الأمور الجسام ينبغي أن يتكلم به العالم الأريب البليغ. وهذه بعض النقاط التي ينبغي التمهيد بها للكلام عن تحريم معاشرة الرجال للرجال والنساء للنساء في الإسلام:</w:t>
      </w:r>
    </w:p>
    <w:p w:rsidR="00A41217" w:rsidRPr="00BA409D" w:rsidRDefault="00A41217" w:rsidP="00DB08BD">
      <w:pPr>
        <w:pStyle w:val="NoSpacing"/>
        <w:widowControl w:val="0"/>
        <w:numPr>
          <w:ilvl w:val="0"/>
          <w:numId w:val="22"/>
        </w:numPr>
        <w:tabs>
          <w:tab w:val="clear" w:pos="1440"/>
          <w:tab w:val="num" w:pos="614"/>
        </w:tabs>
        <w:spacing w:line="216" w:lineRule="auto"/>
        <w:ind w:left="614" w:hanging="614"/>
        <w:jc w:val="lowKashida"/>
        <w:rPr>
          <w:rFonts w:cs="Lotus Linotype"/>
          <w:szCs w:val="28"/>
          <w:rtl/>
        </w:rPr>
      </w:pPr>
      <w:r w:rsidRPr="00BA409D">
        <w:rPr>
          <w:rFonts w:cs="Lotus Linotype"/>
          <w:szCs w:val="28"/>
          <w:rtl/>
        </w:rPr>
        <w:t xml:space="preserve">الأقليات المسلمة لا تسعى لفرض شرائع دينها على الآخرين، وليس شيء من الحدود يقام خارج ديار الإسلام - حتى على المسلمين. </w:t>
      </w:r>
    </w:p>
    <w:p w:rsidR="00A41217" w:rsidRPr="00BA409D" w:rsidRDefault="00A41217" w:rsidP="00A71CF0">
      <w:pPr>
        <w:pStyle w:val="NoSpacing"/>
        <w:widowControl w:val="0"/>
        <w:numPr>
          <w:ilvl w:val="0"/>
          <w:numId w:val="22"/>
        </w:numPr>
        <w:tabs>
          <w:tab w:val="clear" w:pos="1440"/>
          <w:tab w:val="num" w:pos="614"/>
        </w:tabs>
        <w:spacing w:before="120" w:line="216" w:lineRule="auto"/>
        <w:ind w:left="614" w:hanging="614"/>
        <w:jc w:val="lowKashida"/>
        <w:rPr>
          <w:rFonts w:cs="Lotus Linotype"/>
          <w:szCs w:val="28"/>
        </w:rPr>
      </w:pPr>
      <w:r w:rsidRPr="00BA409D">
        <w:rPr>
          <w:rFonts w:cs="Lotus Linotype"/>
          <w:szCs w:val="28"/>
          <w:rtl/>
        </w:rPr>
        <w:lastRenderedPageBreak/>
        <w:t xml:space="preserve">الإسلام ينهى أتباعه عن التحسس والتجسس وتتبع العورات وهتك الأستار والغيبة والسباب والظلم، وليس في الإسلام ما يسمى بالــــ </w:t>
      </w:r>
      <w:r w:rsidRPr="00A71CF0">
        <w:rPr>
          <w:rFonts w:ascii="Verdana" w:hAnsi="Verdana" w:cs="Lotus Linotype"/>
          <w:sz w:val="22"/>
          <w:szCs w:val="16"/>
        </w:rPr>
        <w:t>witch-hunting</w:t>
      </w:r>
      <w:r w:rsidRPr="00BA409D">
        <w:rPr>
          <w:rFonts w:cs="Lotus Linotype"/>
          <w:szCs w:val="28"/>
          <w:rtl/>
        </w:rPr>
        <w:t xml:space="preserve">  (صيد السحرة) أو محاكم التفتيش.</w:t>
      </w:r>
    </w:p>
    <w:p w:rsidR="00A41217" w:rsidRPr="00BA409D" w:rsidRDefault="00A41217" w:rsidP="00A71CF0">
      <w:pPr>
        <w:pStyle w:val="NoSpacing"/>
        <w:widowControl w:val="0"/>
        <w:numPr>
          <w:ilvl w:val="0"/>
          <w:numId w:val="22"/>
        </w:numPr>
        <w:tabs>
          <w:tab w:val="clear" w:pos="1440"/>
          <w:tab w:val="num" w:pos="614"/>
        </w:tabs>
        <w:spacing w:before="120" w:line="216" w:lineRule="auto"/>
        <w:ind w:left="614" w:hanging="614"/>
        <w:jc w:val="lowKashida"/>
        <w:rPr>
          <w:rFonts w:cs="Lotus Linotype"/>
          <w:szCs w:val="28"/>
        </w:rPr>
      </w:pPr>
      <w:r w:rsidRPr="00BA409D">
        <w:rPr>
          <w:rFonts w:cs="Lotus Linotype"/>
          <w:szCs w:val="28"/>
          <w:rtl/>
        </w:rPr>
        <w:t>الإسلام لا يحرم مجرد الشعور الذي لا يستطيع الإنسان الانفكاك منه ودفعه عن نفسه، بل ولا يحرم ما يمكن رفعه لكن في دفعه مشقة، كما نقله السيوطي عن العز.</w:t>
      </w:r>
      <w:r w:rsidRPr="00394A4E">
        <w:rPr>
          <w:position w:val="4"/>
          <w:szCs w:val="34"/>
          <w:vertAlign w:val="superscript"/>
          <w:rtl/>
        </w:rPr>
        <w:t>(</w:t>
      </w:r>
      <w:r w:rsidRPr="00394A4E">
        <w:rPr>
          <w:rStyle w:val="FootnoteReference"/>
          <w:rFonts w:cs="Traditional Arabic"/>
          <w:position w:val="4"/>
          <w:szCs w:val="34"/>
          <w:rtl/>
        </w:rPr>
        <w:footnoteReference w:id="48"/>
      </w:r>
      <w:r w:rsidRPr="00394A4E">
        <w:rPr>
          <w:position w:val="4"/>
          <w:szCs w:val="34"/>
          <w:vertAlign w:val="superscript"/>
          <w:rtl/>
        </w:rPr>
        <w:t>)</w:t>
      </w:r>
      <w:r w:rsidRPr="00BA409D">
        <w:rPr>
          <w:rFonts w:cs="Lotus Linotype"/>
          <w:szCs w:val="28"/>
          <w:rtl/>
        </w:rPr>
        <w:t xml:space="preserve"> قال رسول اللهﷺ: </w:t>
      </w:r>
      <w:r w:rsidRPr="00A73D65">
        <w:rPr>
          <w:rFonts w:cs="Lotus Linotype"/>
          <w:b/>
          <w:bCs/>
          <w:color w:val="000000"/>
          <w:spacing w:val="-4"/>
          <w:sz w:val="40"/>
          <w:szCs w:val="32"/>
          <w:rtl/>
        </w:rPr>
        <w:t>«</w:t>
      </w:r>
      <w:r w:rsidRPr="00BA409D">
        <w:rPr>
          <w:rFonts w:cs="Lotus Linotype"/>
          <w:b/>
          <w:bCs/>
          <w:szCs w:val="28"/>
          <w:rtl/>
        </w:rPr>
        <w:t>إِنَّ اللَّهَ تَجَاوَزَ لِأُمَّتِي مَا حَدَّثَتْ بِهِ أَنْفُسَهَا، مَا لَمْ يَتَكَلَّمُوا أَوْ يَعْمَلُوا بِهِ</w:t>
      </w:r>
      <w:r w:rsidRPr="00BA409D">
        <w:rPr>
          <w:rFonts w:cs="Lotus Linotype"/>
          <w:szCs w:val="28"/>
          <w:rtl/>
        </w:rPr>
        <w:t>»</w:t>
      </w:r>
      <w:r w:rsidRPr="00394A4E">
        <w:rPr>
          <w:position w:val="4"/>
          <w:szCs w:val="34"/>
          <w:vertAlign w:val="superscript"/>
          <w:rtl/>
        </w:rPr>
        <w:t>(</w:t>
      </w:r>
      <w:r w:rsidRPr="00394A4E">
        <w:rPr>
          <w:rStyle w:val="FootnoteReference"/>
          <w:rFonts w:cs="Traditional Arabic"/>
          <w:position w:val="4"/>
          <w:szCs w:val="34"/>
          <w:rtl/>
        </w:rPr>
        <w:footnoteReference w:id="49"/>
      </w:r>
      <w:r w:rsidRPr="00394A4E">
        <w:rPr>
          <w:position w:val="4"/>
          <w:szCs w:val="34"/>
          <w:vertAlign w:val="superscript"/>
          <w:rtl/>
        </w:rPr>
        <w:t>)</w:t>
      </w:r>
    </w:p>
    <w:p w:rsidR="00A41217" w:rsidRPr="00BA409D" w:rsidRDefault="00A41217" w:rsidP="00A71CF0">
      <w:pPr>
        <w:pStyle w:val="NoSpacing"/>
        <w:widowControl w:val="0"/>
        <w:numPr>
          <w:ilvl w:val="0"/>
          <w:numId w:val="22"/>
        </w:numPr>
        <w:tabs>
          <w:tab w:val="clear" w:pos="1440"/>
          <w:tab w:val="num" w:pos="614"/>
        </w:tabs>
        <w:spacing w:before="120" w:line="216" w:lineRule="auto"/>
        <w:ind w:left="614" w:hanging="614"/>
        <w:jc w:val="lowKashida"/>
        <w:rPr>
          <w:rFonts w:cs="Lotus Linotype"/>
          <w:szCs w:val="28"/>
          <w:rtl/>
        </w:rPr>
      </w:pPr>
      <w:r w:rsidRPr="00BA409D">
        <w:rPr>
          <w:rFonts w:cs="Lotus Linotype"/>
          <w:szCs w:val="28"/>
          <w:rtl/>
        </w:rPr>
        <w:t xml:space="preserve">الإسلام كذلك لا ينكر على صاحب هيئة معينة أو مشية أو طريقة في الكلام حتى يظهر سوءًا من قول أو عمل. عن  أم سلمة - رضي الله عنها - أن النبيﷺ كان عندها وفي البيت مخنث فقال المخنث لأخي أم سلمة عبد الله بن أبي أمية إن فتح الله لكم الطائف غدا أدلك على بنت غيلان فإنها تقبل بأربع وتدبر بثمان فقال النبيﷺ: </w:t>
      </w:r>
      <w:r w:rsidRPr="00A73D65">
        <w:rPr>
          <w:rFonts w:cs="Lotus Linotype"/>
          <w:b/>
          <w:bCs/>
          <w:color w:val="000000"/>
          <w:spacing w:val="-4"/>
          <w:sz w:val="40"/>
          <w:szCs w:val="32"/>
          <w:rtl/>
        </w:rPr>
        <w:t>«</w:t>
      </w:r>
      <w:r w:rsidRPr="00BA409D">
        <w:rPr>
          <w:rFonts w:cs="Lotus Linotype"/>
          <w:b/>
          <w:bCs/>
          <w:szCs w:val="28"/>
          <w:rtl/>
        </w:rPr>
        <w:t>لَا يَدْخُلَنَّ هَذَا عَلَيْكُنَّ</w:t>
      </w:r>
      <w:r w:rsidRPr="00BA409D">
        <w:rPr>
          <w:rFonts w:cs="Lotus Linotype"/>
          <w:szCs w:val="28"/>
          <w:rtl/>
        </w:rPr>
        <w:t>»</w:t>
      </w:r>
      <w:r w:rsidRPr="00394A4E">
        <w:rPr>
          <w:position w:val="4"/>
          <w:szCs w:val="34"/>
          <w:vertAlign w:val="superscript"/>
          <w:rtl/>
        </w:rPr>
        <w:t>(</w:t>
      </w:r>
      <w:r w:rsidRPr="00394A4E">
        <w:rPr>
          <w:rStyle w:val="FootnoteReference"/>
          <w:rFonts w:cs="Traditional Arabic"/>
          <w:position w:val="4"/>
          <w:szCs w:val="34"/>
          <w:rtl/>
        </w:rPr>
        <w:footnoteReference w:id="50"/>
      </w:r>
      <w:r w:rsidRPr="00394A4E">
        <w:rPr>
          <w:position w:val="4"/>
          <w:szCs w:val="34"/>
          <w:vertAlign w:val="superscript"/>
          <w:rtl/>
        </w:rPr>
        <w:t>)</w:t>
      </w:r>
      <w:r w:rsidRPr="00BA409D">
        <w:rPr>
          <w:rFonts w:cs="Lotus Linotype"/>
          <w:szCs w:val="28"/>
          <w:rtl/>
        </w:rPr>
        <w:t xml:space="preserve"> وفي الحديث أن المخنثين كانوا يعيشون آمنين في المدينة، بل ويدخلون على أمهات المؤمنين بيوتهن، وليس ثمة حاجة إلى القول بالنسخ فغاية ما في الحديث منع من يفشي أسرار البيوت من الاطلاع على عوراتها، فلا ينكر إذًا على أحد طريقة كلامه أو مشيه وإنما ينكر (في المجتمع المسلم) على من لبس لبسة غير جنسه أو أظهر التشبه بهم، فقد أخرج أبو داود  من حديث  أبي هريرة  أن النبيﷺ أتي بمخنث قد خضب يديه ورجليه فقيل: يا رسول الله إن هذا يتشبه بالنساء، فنفاه إلى النقيع.</w:t>
      </w:r>
    </w:p>
    <w:p w:rsidR="00A41217" w:rsidRPr="00A71CF0" w:rsidRDefault="00A41217" w:rsidP="00A71CF0">
      <w:pPr>
        <w:pStyle w:val="Heading2"/>
        <w:keepNext w:val="0"/>
        <w:keepLines w:val="0"/>
        <w:widowControl w:val="0"/>
        <w:spacing w:before="240" w:line="216" w:lineRule="auto"/>
        <w:rPr>
          <w:rFonts w:cs="الحوكمي عنوان2"/>
          <w:b w:val="0"/>
          <w:bCs w:val="0"/>
          <w:sz w:val="28"/>
          <w:szCs w:val="28"/>
          <w:rtl/>
        </w:rPr>
      </w:pPr>
      <w:bookmarkStart w:id="33" w:name="_Toc444382246"/>
      <w:r w:rsidRPr="00A71CF0">
        <w:rPr>
          <w:rFonts w:cs="الحوكمي عنوان2"/>
          <w:b w:val="0"/>
          <w:bCs w:val="0"/>
          <w:sz w:val="28"/>
          <w:szCs w:val="28"/>
          <w:rtl/>
        </w:rPr>
        <w:t>ثانيًا: عدم التورط في الصراع الإعلامي والقانوني والسياسي:</w:t>
      </w:r>
      <w:bookmarkEnd w:id="33"/>
    </w:p>
    <w:p w:rsidR="00A41217" w:rsidRPr="00BA409D" w:rsidRDefault="00A41217" w:rsidP="00A71CF0">
      <w:pPr>
        <w:pStyle w:val="NoSpacing"/>
        <w:widowControl w:val="0"/>
        <w:spacing w:before="120" w:line="216" w:lineRule="auto"/>
        <w:ind w:firstLine="425"/>
        <w:jc w:val="both"/>
        <w:rPr>
          <w:rFonts w:cs="Lotus Linotype"/>
          <w:szCs w:val="28"/>
          <w:rtl/>
        </w:rPr>
      </w:pPr>
      <w:r w:rsidRPr="00BA409D">
        <w:rPr>
          <w:rFonts w:cs="Lotus Linotype"/>
          <w:szCs w:val="28"/>
          <w:rtl/>
        </w:rPr>
        <w:t>لا أرى أن نكون جزءًا من هذا الصراع إلا أن نستنصح فننصح أو نسأل عن تعاليم ديننا فنبينها وأن نصرف جهدنا إلى رعاية شبابنا وتحصينهم من تلك المزالق. أما عدم الانخراط في الصراع الإعلامي والقانوني والسياسي، فهذه أسبابه:</w:t>
      </w:r>
    </w:p>
    <w:p w:rsidR="00A41217" w:rsidRPr="00A71CF0" w:rsidRDefault="00A41217" w:rsidP="00A71CF0">
      <w:pPr>
        <w:pStyle w:val="Heading3"/>
        <w:rPr>
          <w:rFonts w:cs="الحوكمي عنوان2"/>
          <w:b w:val="0"/>
          <w:bCs w:val="0"/>
          <w:sz w:val="28"/>
          <w:szCs w:val="28"/>
          <w:rtl/>
        </w:rPr>
      </w:pPr>
      <w:bookmarkStart w:id="34" w:name="_Toc444382247"/>
      <w:r w:rsidRPr="00A71CF0">
        <w:rPr>
          <w:rFonts w:cs="الحوكمي عنوان2"/>
          <w:b w:val="0"/>
          <w:bCs w:val="0"/>
          <w:sz w:val="28"/>
          <w:szCs w:val="28"/>
          <w:rtl/>
        </w:rPr>
        <w:t>التدرج في عرض الإسلام وترتيب الأولويات في إطار الممكن والمقدور:</w:t>
      </w:r>
      <w:bookmarkEnd w:id="34"/>
    </w:p>
    <w:p w:rsidR="00A41217" w:rsidRPr="00BA409D" w:rsidRDefault="00A41217" w:rsidP="004E2C57">
      <w:pPr>
        <w:pStyle w:val="NoSpacing"/>
        <w:widowControl w:val="0"/>
        <w:spacing w:line="192" w:lineRule="auto"/>
        <w:ind w:firstLine="425"/>
        <w:jc w:val="both"/>
        <w:rPr>
          <w:rFonts w:cs="Lotus Linotype"/>
          <w:szCs w:val="28"/>
          <w:rtl/>
        </w:rPr>
      </w:pPr>
      <w:r w:rsidRPr="00BA409D">
        <w:rPr>
          <w:rFonts w:cs="Lotus Linotype"/>
          <w:szCs w:val="28"/>
          <w:rtl/>
        </w:rPr>
        <w:t xml:space="preserve">يقول البعض ليس بعد الكفر ذنب، وهو يريد بذلك أن يريح نفسه من هم الأمر بالمعروف والنهي عن المنكر بالكلية ولو حتى بتمعر الوجه أو ضيق الصدر، ثم هو لا يذكر سوى آيات البر بغير المسلمين دون تلك التي تشن الغارة على معتقداتهم الباطلة، فيتحصل من ذلك أن </w:t>
      </w:r>
      <w:r w:rsidRPr="00A73D65">
        <w:rPr>
          <w:rFonts w:cs="Lotus Linotype"/>
          <w:color w:val="000000"/>
          <w:spacing w:val="-4"/>
          <w:sz w:val="40"/>
          <w:szCs w:val="32"/>
          <w:rtl/>
        </w:rPr>
        <w:t>«</w:t>
      </w:r>
      <w:r w:rsidRPr="00BA409D">
        <w:rPr>
          <w:rFonts w:cs="Lotus Linotype"/>
          <w:szCs w:val="28"/>
          <w:rtl/>
        </w:rPr>
        <w:t xml:space="preserve">راحة البال» لا تكون إلا لمن بانت عن بلاد الإسلام داره. ويجيب البعض الآخر فيقول إن الرسل جاؤوا ليدعوا الناس إلى التوحيد ولكنهم في نفس الوقت أمروا بالإصلاح وشنوا الغارة على المنكرات المنتشرة في </w:t>
      </w:r>
      <w:r w:rsidRPr="00BA409D">
        <w:rPr>
          <w:rFonts w:cs="Lotus Linotype"/>
          <w:szCs w:val="28"/>
          <w:rtl/>
        </w:rPr>
        <w:lastRenderedPageBreak/>
        <w:t xml:space="preserve">مجتمعاتهم. فهذا هود يقول لقومه: </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372" w:hAnsi="QCF_P372" w:cs="QCF_P372"/>
          <w:color w:val="000000"/>
          <w:sz w:val="29"/>
          <w:szCs w:val="29"/>
          <w:rtl/>
        </w:rPr>
        <w:t>ﯤ</w:t>
      </w:r>
      <w:r>
        <w:rPr>
          <w:rFonts w:ascii="QCF_P372" w:hAnsi="QCF_P372" w:cs="QCF_P372"/>
          <w:color w:val="000000"/>
          <w:sz w:val="2"/>
          <w:szCs w:val="2"/>
          <w:rtl/>
        </w:rPr>
        <w:t xml:space="preserve"> </w:t>
      </w:r>
      <w:r>
        <w:rPr>
          <w:rFonts w:ascii="QCF_P372" w:hAnsi="QCF_P372" w:cs="QCF_P372"/>
          <w:color w:val="000000"/>
          <w:sz w:val="29"/>
          <w:szCs w:val="29"/>
          <w:rtl/>
        </w:rPr>
        <w:t>ﯥ</w:t>
      </w:r>
      <w:r>
        <w:rPr>
          <w:rFonts w:ascii="QCF_P372" w:hAnsi="QCF_P372" w:cs="QCF_P372"/>
          <w:color w:val="000000"/>
          <w:sz w:val="2"/>
          <w:szCs w:val="2"/>
          <w:rtl/>
        </w:rPr>
        <w:t xml:space="preserve"> </w:t>
      </w:r>
      <w:r>
        <w:rPr>
          <w:rFonts w:ascii="QCF_P372" w:hAnsi="QCF_P372" w:cs="QCF_P372"/>
          <w:color w:val="000000"/>
          <w:sz w:val="29"/>
          <w:szCs w:val="29"/>
          <w:rtl/>
        </w:rPr>
        <w:t>ﯦ</w:t>
      </w:r>
      <w:r>
        <w:rPr>
          <w:rFonts w:ascii="QCF_P372" w:hAnsi="QCF_P372" w:cs="QCF_P372"/>
          <w:color w:val="000000"/>
          <w:sz w:val="2"/>
          <w:szCs w:val="2"/>
          <w:rtl/>
        </w:rPr>
        <w:t xml:space="preserve">  </w:t>
      </w:r>
      <w:r>
        <w:rPr>
          <w:rFonts w:ascii="QCF_P372" w:hAnsi="QCF_P372" w:cs="QCF_P372"/>
          <w:color w:val="000000"/>
          <w:sz w:val="29"/>
          <w:szCs w:val="29"/>
          <w:rtl/>
        </w:rPr>
        <w:t>ﯧ</w:t>
      </w:r>
      <w:r>
        <w:rPr>
          <w:rFonts w:ascii="QCF_P372" w:hAnsi="QCF_P372" w:cs="QCF_P372"/>
          <w:color w:val="000000"/>
          <w:sz w:val="2"/>
          <w:szCs w:val="2"/>
          <w:rtl/>
        </w:rPr>
        <w:t xml:space="preserve"> </w:t>
      </w:r>
      <w:r>
        <w:rPr>
          <w:rFonts w:ascii="QCF_P372" w:hAnsi="QCF_P372" w:cs="QCF_P372"/>
          <w:color w:val="000000"/>
          <w:sz w:val="29"/>
          <w:szCs w:val="29"/>
          <w:rtl/>
        </w:rPr>
        <w:t>ﯨ</w:t>
      </w:r>
      <w:r>
        <w:rPr>
          <w:rFonts w:ascii="QCF_P372" w:hAnsi="QCF_P372" w:cs="QCF_P372"/>
          <w:color w:val="000000"/>
          <w:sz w:val="2"/>
          <w:szCs w:val="2"/>
          <w:rtl/>
        </w:rPr>
        <w:t xml:space="preserve"> </w:t>
      </w:r>
      <w:r>
        <w:rPr>
          <w:rFonts w:ascii="QCF_P372" w:hAnsi="QCF_P372" w:cs="QCF_P372"/>
          <w:color w:val="000000"/>
          <w:sz w:val="29"/>
          <w:szCs w:val="29"/>
          <w:rtl/>
        </w:rPr>
        <w:t>ﯩ</w:t>
      </w:r>
      <w:r>
        <w:rPr>
          <w:rFonts w:ascii="QCF_P372" w:hAnsi="QCF_P372" w:cs="QCF_P372"/>
          <w:color w:val="000000"/>
          <w:sz w:val="2"/>
          <w:szCs w:val="2"/>
          <w:rtl/>
        </w:rPr>
        <w:t xml:space="preserve"> </w:t>
      </w:r>
      <w:r>
        <w:rPr>
          <w:rFonts w:ascii="QCF_P372" w:hAnsi="QCF_P372" w:cs="QCF_P372"/>
          <w:color w:val="000000"/>
          <w:sz w:val="29"/>
          <w:szCs w:val="29"/>
          <w:rtl/>
        </w:rPr>
        <w:t>ﯪ</w:t>
      </w:r>
      <w:r>
        <w:rPr>
          <w:rFonts w:ascii="QCF_P372" w:hAnsi="QCF_P372" w:cs="QCF_P372"/>
          <w:color w:val="000000"/>
          <w:sz w:val="2"/>
          <w:szCs w:val="2"/>
          <w:rtl/>
        </w:rPr>
        <w:t xml:space="preserve"> </w:t>
      </w:r>
      <w:r>
        <w:rPr>
          <w:rFonts w:ascii="QCF_P372" w:hAnsi="QCF_P372" w:cs="QCF_P372"/>
          <w:color w:val="000000"/>
          <w:sz w:val="29"/>
          <w:szCs w:val="29"/>
          <w:rtl/>
        </w:rPr>
        <w:t>ﯫ</w:t>
      </w:r>
      <w:r>
        <w:rPr>
          <w:rFonts w:ascii="QCF_P372" w:hAnsi="QCF_P372" w:cs="QCF_P372"/>
          <w:color w:val="000000"/>
          <w:sz w:val="2"/>
          <w:szCs w:val="2"/>
          <w:rtl/>
        </w:rPr>
        <w:t xml:space="preserve"> </w:t>
      </w:r>
      <w:r>
        <w:rPr>
          <w:rFonts w:ascii="QCF_P372" w:hAnsi="QCF_P372" w:cs="QCF_P372"/>
          <w:color w:val="000000"/>
          <w:sz w:val="29"/>
          <w:szCs w:val="29"/>
          <w:rtl/>
        </w:rPr>
        <w:t>ﯬ</w:t>
      </w:r>
      <w:r>
        <w:rPr>
          <w:rFonts w:ascii="QCF_P372" w:hAnsi="QCF_P372" w:cs="QCF_P372"/>
          <w:color w:val="000000"/>
          <w:sz w:val="2"/>
          <w:szCs w:val="2"/>
          <w:rtl/>
        </w:rPr>
        <w:t xml:space="preserve"> </w:t>
      </w:r>
      <w:r>
        <w:rPr>
          <w:rFonts w:ascii="QCF_P372" w:hAnsi="QCF_P372" w:cs="QCF_P372"/>
          <w:color w:val="000000"/>
          <w:sz w:val="29"/>
          <w:szCs w:val="29"/>
          <w:rtl/>
        </w:rPr>
        <w:t>ﯭ</w:t>
      </w:r>
      <w:r>
        <w:rPr>
          <w:rFonts w:ascii="QCF_P372" w:hAnsi="QCF_P372" w:cs="QCF_P372"/>
          <w:color w:val="000000"/>
          <w:sz w:val="2"/>
          <w:szCs w:val="2"/>
          <w:rtl/>
        </w:rPr>
        <w:t xml:space="preserve"> </w:t>
      </w:r>
      <w:r>
        <w:rPr>
          <w:rFonts w:ascii="QCF_P372" w:hAnsi="QCF_P372" w:cs="QCF_P372"/>
          <w:color w:val="000000"/>
          <w:sz w:val="29"/>
          <w:szCs w:val="29"/>
          <w:rtl/>
        </w:rPr>
        <w:t>ﯮ</w:t>
      </w:r>
      <w:r>
        <w:rPr>
          <w:rFonts w:ascii="QCF_P372" w:hAnsi="QCF_P372" w:cs="QCF_P372"/>
          <w:color w:val="000000"/>
          <w:sz w:val="2"/>
          <w:szCs w:val="2"/>
          <w:rtl/>
        </w:rPr>
        <w:t xml:space="preserve">  </w:t>
      </w:r>
      <w:r>
        <w:rPr>
          <w:rFonts w:ascii="QCF_P372" w:hAnsi="QCF_P372" w:cs="QCF_P372"/>
          <w:color w:val="000000"/>
          <w:sz w:val="29"/>
          <w:szCs w:val="29"/>
          <w:rtl/>
        </w:rPr>
        <w:t>ﯯ</w:t>
      </w:r>
      <w:r>
        <w:rPr>
          <w:rFonts w:ascii="QCF_P372" w:hAnsi="QCF_P372" w:cs="QCF_P372"/>
          <w:color w:val="000000"/>
          <w:sz w:val="2"/>
          <w:szCs w:val="2"/>
          <w:rtl/>
        </w:rPr>
        <w:t xml:space="preserve"> </w:t>
      </w:r>
      <w:r>
        <w:rPr>
          <w:rFonts w:ascii="QCF_P372" w:hAnsi="QCF_P372" w:cs="QCF_P372"/>
          <w:color w:val="000000"/>
          <w:sz w:val="29"/>
          <w:szCs w:val="29"/>
          <w:rtl/>
        </w:rPr>
        <w:t>ﯰ</w:t>
      </w:r>
      <w:r>
        <w:rPr>
          <w:rFonts w:ascii="QCF_P372" w:hAnsi="QCF_P372" w:cs="QCF_P372"/>
          <w:color w:val="000000"/>
          <w:sz w:val="2"/>
          <w:szCs w:val="2"/>
          <w:rtl/>
        </w:rPr>
        <w:t xml:space="preserve"> </w:t>
      </w:r>
      <w:r>
        <w:rPr>
          <w:rFonts w:ascii="QCF_P372" w:hAnsi="QCF_P372" w:cs="QCF_P372"/>
          <w:color w:val="000000"/>
          <w:sz w:val="29"/>
          <w:szCs w:val="29"/>
          <w:rtl/>
        </w:rPr>
        <w:t>ﯱ</w:t>
      </w:r>
      <w:r>
        <w:rPr>
          <w:rFonts w:ascii="QCF_P372" w:hAnsi="QCF_P372" w:cs="QCF_P372"/>
          <w:color w:val="000000"/>
          <w:sz w:val="2"/>
          <w:szCs w:val="2"/>
          <w:rtl/>
        </w:rPr>
        <w:t xml:space="preserve"> </w:t>
      </w:r>
      <w:r>
        <w:rPr>
          <w:rFonts w:ascii="QCF_P372" w:hAnsi="QCF_P372" w:cs="QCF_P372"/>
          <w:color w:val="000000"/>
          <w:sz w:val="29"/>
          <w:szCs w:val="29"/>
          <w:rtl/>
        </w:rPr>
        <w:t>ﯲ</w:t>
      </w:r>
      <w:r>
        <w:rPr>
          <w:rFonts w:ascii="QCF_P372" w:hAnsi="QCF_P372" w:cs="QCF_P372"/>
          <w:color w:val="000000"/>
          <w:sz w:val="2"/>
          <w:szCs w:val="2"/>
          <w:rtl/>
        </w:rPr>
        <w:t xml:space="preserve"> </w:t>
      </w:r>
      <w:r>
        <w:rPr>
          <w:rFonts w:ascii="QCF_BSML" w:hAnsi="QCF_BSML" w:cs="QCF_BSML"/>
          <w:color w:val="000000"/>
          <w:sz w:val="29"/>
          <w:szCs w:val="29"/>
          <w:rtl/>
        </w:rPr>
        <w:t>ﮊ</w:t>
      </w:r>
      <w:r w:rsidRPr="00A71CF0">
        <w:rPr>
          <w:rFonts w:cs="Lotus Linotype"/>
          <w:sz w:val="32"/>
          <w:szCs w:val="26"/>
          <w:rtl/>
        </w:rPr>
        <w:t>[الشعراء: 1128-130]</w:t>
      </w:r>
      <w:r w:rsidRPr="00BA409D">
        <w:rPr>
          <w:rFonts w:cs="Lotus Linotype"/>
          <w:szCs w:val="28"/>
          <w:rtl/>
        </w:rPr>
        <w:t xml:space="preserve"> وهذا لوط يقول لقومه: </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374" w:hAnsi="QCF_P374" w:cs="QCF_P374"/>
          <w:color w:val="000000"/>
          <w:sz w:val="29"/>
          <w:szCs w:val="29"/>
          <w:rtl/>
        </w:rPr>
        <w:t>ﭴ</w:t>
      </w:r>
      <w:r>
        <w:rPr>
          <w:rFonts w:ascii="QCF_P374" w:hAnsi="QCF_P374" w:cs="QCF_P374"/>
          <w:color w:val="000000"/>
          <w:sz w:val="2"/>
          <w:szCs w:val="2"/>
          <w:rtl/>
        </w:rPr>
        <w:t xml:space="preserve"> </w:t>
      </w:r>
      <w:r>
        <w:rPr>
          <w:rFonts w:ascii="QCF_P374" w:hAnsi="QCF_P374" w:cs="QCF_P374"/>
          <w:color w:val="000000"/>
          <w:sz w:val="29"/>
          <w:szCs w:val="29"/>
          <w:rtl/>
        </w:rPr>
        <w:t>ﭵ</w:t>
      </w:r>
      <w:r>
        <w:rPr>
          <w:rFonts w:ascii="QCF_P374" w:hAnsi="QCF_P374" w:cs="QCF_P374"/>
          <w:color w:val="000000"/>
          <w:sz w:val="2"/>
          <w:szCs w:val="2"/>
          <w:rtl/>
        </w:rPr>
        <w:t xml:space="preserve"> </w:t>
      </w:r>
      <w:r>
        <w:rPr>
          <w:rFonts w:ascii="QCF_P374" w:hAnsi="QCF_P374" w:cs="QCF_P374"/>
          <w:color w:val="000000"/>
          <w:sz w:val="29"/>
          <w:szCs w:val="29"/>
          <w:rtl/>
        </w:rPr>
        <w:t>ﭶ</w:t>
      </w:r>
      <w:r>
        <w:rPr>
          <w:rFonts w:ascii="QCF_P374" w:hAnsi="QCF_P374" w:cs="QCF_P374"/>
          <w:color w:val="000000"/>
          <w:sz w:val="2"/>
          <w:szCs w:val="2"/>
          <w:rtl/>
        </w:rPr>
        <w:t xml:space="preserve"> </w:t>
      </w:r>
      <w:r>
        <w:rPr>
          <w:rFonts w:ascii="QCF_P374" w:hAnsi="QCF_P374" w:cs="QCF_P374"/>
          <w:color w:val="000000"/>
          <w:sz w:val="29"/>
          <w:szCs w:val="29"/>
          <w:rtl/>
        </w:rPr>
        <w:t>ﭷ</w:t>
      </w:r>
      <w:r>
        <w:rPr>
          <w:rFonts w:ascii="QCF_P374" w:hAnsi="QCF_P374" w:cs="QCF_P374"/>
          <w:color w:val="000000"/>
          <w:sz w:val="2"/>
          <w:szCs w:val="2"/>
          <w:rtl/>
        </w:rPr>
        <w:t xml:space="preserve"> </w:t>
      </w:r>
      <w:r>
        <w:rPr>
          <w:rFonts w:ascii="QCF_P374" w:hAnsi="QCF_P374" w:cs="QCF_P374"/>
          <w:color w:val="000000"/>
          <w:sz w:val="29"/>
          <w:szCs w:val="29"/>
          <w:rtl/>
        </w:rPr>
        <w:t>ﭸ</w:t>
      </w:r>
      <w:r>
        <w:rPr>
          <w:rFonts w:ascii="QCF_P374" w:hAnsi="QCF_P374" w:cs="QCF_P374"/>
          <w:color w:val="000000"/>
          <w:sz w:val="2"/>
          <w:szCs w:val="2"/>
          <w:rtl/>
        </w:rPr>
        <w:t xml:space="preserve"> </w:t>
      </w:r>
      <w:r>
        <w:rPr>
          <w:rFonts w:ascii="QCF_P374" w:hAnsi="QCF_P374" w:cs="QCF_P374"/>
          <w:color w:val="000000"/>
          <w:sz w:val="29"/>
          <w:szCs w:val="29"/>
          <w:rtl/>
        </w:rPr>
        <w:t>ﭹ</w:t>
      </w:r>
      <w:r>
        <w:rPr>
          <w:rFonts w:ascii="QCF_P374" w:hAnsi="QCF_P374" w:cs="QCF_P374"/>
          <w:color w:val="000000"/>
          <w:sz w:val="2"/>
          <w:szCs w:val="2"/>
          <w:rtl/>
        </w:rPr>
        <w:t xml:space="preserve"> </w:t>
      </w:r>
      <w:r>
        <w:rPr>
          <w:rFonts w:ascii="QCF_P374" w:hAnsi="QCF_P374" w:cs="QCF_P374"/>
          <w:color w:val="000000"/>
          <w:sz w:val="29"/>
          <w:szCs w:val="29"/>
          <w:rtl/>
        </w:rPr>
        <w:t>ﭺ</w:t>
      </w:r>
      <w:r>
        <w:rPr>
          <w:rFonts w:ascii="QCF_P374" w:hAnsi="QCF_P374" w:cs="QCF_P374"/>
          <w:color w:val="000000"/>
          <w:sz w:val="2"/>
          <w:szCs w:val="2"/>
          <w:rtl/>
        </w:rPr>
        <w:t xml:space="preserve"> </w:t>
      </w:r>
      <w:r>
        <w:rPr>
          <w:rFonts w:ascii="QCF_P374" w:hAnsi="QCF_P374" w:cs="QCF_P374"/>
          <w:color w:val="000000"/>
          <w:sz w:val="29"/>
          <w:szCs w:val="29"/>
          <w:rtl/>
        </w:rPr>
        <w:t>ﭻ</w:t>
      </w:r>
      <w:r>
        <w:rPr>
          <w:rFonts w:ascii="QCF_P374" w:hAnsi="QCF_P374" w:cs="QCF_P374"/>
          <w:color w:val="000000"/>
          <w:sz w:val="2"/>
          <w:szCs w:val="2"/>
          <w:rtl/>
        </w:rPr>
        <w:t xml:space="preserve"> </w:t>
      </w:r>
      <w:r>
        <w:rPr>
          <w:rFonts w:ascii="QCF_P374" w:hAnsi="QCF_P374" w:cs="QCF_P374"/>
          <w:color w:val="000000"/>
          <w:sz w:val="29"/>
          <w:szCs w:val="29"/>
          <w:rtl/>
        </w:rPr>
        <w:t>ﭼ</w:t>
      </w:r>
      <w:r>
        <w:rPr>
          <w:rFonts w:ascii="QCF_P374" w:hAnsi="QCF_P374" w:cs="QCF_P374"/>
          <w:color w:val="000000"/>
          <w:sz w:val="2"/>
          <w:szCs w:val="2"/>
          <w:rtl/>
        </w:rPr>
        <w:t xml:space="preserve"> </w:t>
      </w:r>
      <w:r>
        <w:rPr>
          <w:rFonts w:ascii="QCF_P374" w:hAnsi="QCF_P374" w:cs="QCF_P374"/>
          <w:color w:val="000000"/>
          <w:sz w:val="29"/>
          <w:szCs w:val="29"/>
          <w:rtl/>
        </w:rPr>
        <w:t>ﭽ</w:t>
      </w:r>
      <w:r>
        <w:rPr>
          <w:rFonts w:ascii="QCF_P374" w:hAnsi="QCF_P374" w:cs="QCF_P374"/>
          <w:color w:val="000000"/>
          <w:sz w:val="2"/>
          <w:szCs w:val="2"/>
          <w:rtl/>
        </w:rPr>
        <w:t xml:space="preserve">  </w:t>
      </w:r>
      <w:r>
        <w:rPr>
          <w:rFonts w:ascii="QCF_P374" w:hAnsi="QCF_P374" w:cs="QCF_P374"/>
          <w:color w:val="000000"/>
          <w:sz w:val="29"/>
          <w:szCs w:val="29"/>
          <w:rtl/>
        </w:rPr>
        <w:t>ﭾ</w:t>
      </w:r>
      <w:r>
        <w:rPr>
          <w:rFonts w:ascii="QCF_P374" w:hAnsi="QCF_P374" w:cs="QCF_P374"/>
          <w:color w:val="000000"/>
          <w:sz w:val="2"/>
          <w:szCs w:val="2"/>
          <w:rtl/>
        </w:rPr>
        <w:t xml:space="preserve"> </w:t>
      </w:r>
      <w:r>
        <w:rPr>
          <w:rFonts w:ascii="QCF_P374" w:hAnsi="QCF_P374" w:cs="QCF_P374"/>
          <w:color w:val="000000"/>
          <w:sz w:val="29"/>
          <w:szCs w:val="29"/>
          <w:rtl/>
        </w:rPr>
        <w:t>ﭿﮀ</w:t>
      </w:r>
      <w:r>
        <w:rPr>
          <w:rFonts w:ascii="QCF_P374" w:hAnsi="QCF_P374" w:cs="QCF_P374"/>
          <w:color w:val="000000"/>
          <w:sz w:val="2"/>
          <w:szCs w:val="2"/>
          <w:rtl/>
        </w:rPr>
        <w:t xml:space="preserve"> </w:t>
      </w:r>
      <w:r>
        <w:rPr>
          <w:rFonts w:ascii="QCF_P374" w:hAnsi="QCF_P374" w:cs="QCF_P374"/>
          <w:color w:val="000000"/>
          <w:sz w:val="29"/>
          <w:szCs w:val="29"/>
          <w:rtl/>
        </w:rPr>
        <w:t>ﮁ</w:t>
      </w:r>
      <w:r>
        <w:rPr>
          <w:rFonts w:ascii="QCF_P374" w:hAnsi="QCF_P374" w:cs="QCF_P374"/>
          <w:color w:val="000000"/>
          <w:sz w:val="2"/>
          <w:szCs w:val="2"/>
          <w:rtl/>
        </w:rPr>
        <w:t xml:space="preserve"> </w:t>
      </w:r>
      <w:r>
        <w:rPr>
          <w:rFonts w:ascii="QCF_P374" w:hAnsi="QCF_P374" w:cs="QCF_P374"/>
          <w:color w:val="000000"/>
          <w:sz w:val="29"/>
          <w:szCs w:val="29"/>
          <w:rtl/>
        </w:rPr>
        <w:t>ﮂ</w:t>
      </w:r>
      <w:r>
        <w:rPr>
          <w:rFonts w:ascii="QCF_P374" w:hAnsi="QCF_P374" w:cs="QCF_P374"/>
          <w:color w:val="000000"/>
          <w:sz w:val="2"/>
          <w:szCs w:val="2"/>
          <w:rtl/>
        </w:rPr>
        <w:t xml:space="preserve"> </w:t>
      </w:r>
      <w:r>
        <w:rPr>
          <w:rFonts w:ascii="QCF_P374" w:hAnsi="QCF_P374" w:cs="QCF_P374"/>
          <w:color w:val="000000"/>
          <w:sz w:val="29"/>
          <w:szCs w:val="29"/>
          <w:rtl/>
        </w:rPr>
        <w:t>ﮃ</w:t>
      </w:r>
      <w:r>
        <w:rPr>
          <w:rFonts w:ascii="QCF_P374" w:hAnsi="QCF_P374" w:cs="QCF_P374"/>
          <w:color w:val="000000"/>
          <w:sz w:val="2"/>
          <w:szCs w:val="2"/>
          <w:rtl/>
        </w:rPr>
        <w:t xml:space="preserve">  </w:t>
      </w:r>
      <w:r>
        <w:rPr>
          <w:rFonts w:ascii="QCF_P374" w:hAnsi="QCF_P374" w:cs="QCF_P374"/>
          <w:color w:val="000000"/>
          <w:sz w:val="29"/>
          <w:szCs w:val="29"/>
          <w:rtl/>
        </w:rPr>
        <w:t>ﮄ</w:t>
      </w:r>
      <w:r>
        <w:rPr>
          <w:rFonts w:ascii="QCF_P374" w:hAnsi="QCF_P374" w:cs="QCF_P374"/>
          <w:color w:val="000000"/>
          <w:sz w:val="2"/>
          <w:szCs w:val="2"/>
          <w:rtl/>
        </w:rPr>
        <w:t xml:space="preserve">  </w:t>
      </w:r>
      <w:r>
        <w:rPr>
          <w:rFonts w:ascii="QCF_BSML" w:hAnsi="QCF_BSML" w:cs="QCF_BSML"/>
          <w:color w:val="000000"/>
          <w:sz w:val="29"/>
          <w:szCs w:val="29"/>
          <w:rtl/>
        </w:rPr>
        <w:t>ﮊ</w:t>
      </w:r>
      <w:r w:rsidRPr="00A71CF0">
        <w:rPr>
          <w:rFonts w:cs="Lotus Linotype"/>
          <w:sz w:val="32"/>
          <w:szCs w:val="26"/>
          <w:rtl/>
        </w:rPr>
        <w:t>[الشعراء: 165-166]</w:t>
      </w:r>
      <w:r w:rsidRPr="00BA409D">
        <w:rPr>
          <w:rFonts w:cs="Lotus Linotype"/>
          <w:szCs w:val="28"/>
          <w:rtl/>
        </w:rPr>
        <w:t xml:space="preserve"> وهذا شعيب يقول لأصحاب الأيكة: </w:t>
      </w:r>
      <w:r>
        <w:rPr>
          <w:rFonts w:ascii="QCF_BSML" w:hAnsi="QCF_BSML" w:cs="QCF_BSML"/>
          <w:color w:val="000000"/>
          <w:sz w:val="29"/>
          <w:szCs w:val="29"/>
          <w:rtl/>
        </w:rPr>
        <w:t>ﮋ</w:t>
      </w:r>
      <w:r>
        <w:rPr>
          <w:rFonts w:ascii="QCF_BSML" w:hAnsi="QCF_BSML" w:cs="QCF_BSML"/>
          <w:color w:val="000000"/>
          <w:sz w:val="2"/>
          <w:szCs w:val="2"/>
          <w:rtl/>
        </w:rPr>
        <w:t xml:space="preserve"> </w:t>
      </w:r>
      <w:r>
        <w:rPr>
          <w:rFonts w:ascii="QCF_P374" w:hAnsi="QCF_P374" w:cs="QCF_P374"/>
          <w:color w:val="000000"/>
          <w:sz w:val="29"/>
          <w:szCs w:val="29"/>
          <w:rtl/>
        </w:rPr>
        <w:t>ﰃ</w:t>
      </w:r>
      <w:r>
        <w:rPr>
          <w:rFonts w:ascii="QCF_P374" w:hAnsi="QCF_P374" w:cs="QCF_P374"/>
          <w:color w:val="000000"/>
          <w:sz w:val="2"/>
          <w:szCs w:val="2"/>
          <w:rtl/>
        </w:rPr>
        <w:t xml:space="preserve"> </w:t>
      </w:r>
      <w:r>
        <w:rPr>
          <w:rFonts w:ascii="QCF_P374" w:hAnsi="QCF_P374" w:cs="QCF_P374"/>
          <w:color w:val="000000"/>
          <w:sz w:val="29"/>
          <w:szCs w:val="29"/>
          <w:rtl/>
        </w:rPr>
        <w:t>ﰄ</w:t>
      </w:r>
      <w:r>
        <w:rPr>
          <w:rFonts w:ascii="QCF_P374" w:hAnsi="QCF_P374" w:cs="QCF_P374"/>
          <w:color w:val="000000"/>
          <w:sz w:val="2"/>
          <w:szCs w:val="2"/>
          <w:rtl/>
        </w:rPr>
        <w:t xml:space="preserve"> </w:t>
      </w:r>
      <w:r>
        <w:rPr>
          <w:rFonts w:ascii="QCF_P374" w:hAnsi="QCF_P374" w:cs="QCF_P374"/>
          <w:color w:val="000000"/>
          <w:sz w:val="29"/>
          <w:szCs w:val="29"/>
          <w:rtl/>
        </w:rPr>
        <w:t>ﰅ</w:t>
      </w:r>
      <w:r>
        <w:rPr>
          <w:rFonts w:ascii="QCF_P374" w:hAnsi="QCF_P374" w:cs="QCF_P374"/>
          <w:color w:val="000000"/>
          <w:sz w:val="2"/>
          <w:szCs w:val="2"/>
          <w:rtl/>
        </w:rPr>
        <w:t xml:space="preserve"> </w:t>
      </w:r>
      <w:r>
        <w:rPr>
          <w:rFonts w:ascii="QCF_P374" w:hAnsi="QCF_P374" w:cs="QCF_P374"/>
          <w:color w:val="000000"/>
          <w:sz w:val="29"/>
          <w:szCs w:val="29"/>
          <w:rtl/>
        </w:rPr>
        <w:t>ﰆ</w:t>
      </w:r>
      <w:r>
        <w:rPr>
          <w:rFonts w:ascii="QCF_P374" w:hAnsi="QCF_P374" w:cs="QCF_P374"/>
          <w:color w:val="000000"/>
          <w:sz w:val="2"/>
          <w:szCs w:val="2"/>
          <w:rtl/>
        </w:rPr>
        <w:t xml:space="preserve">   </w:t>
      </w:r>
      <w:r>
        <w:rPr>
          <w:rFonts w:ascii="QCF_P374" w:hAnsi="QCF_P374" w:cs="QCF_P374"/>
          <w:color w:val="000000"/>
          <w:sz w:val="29"/>
          <w:szCs w:val="29"/>
          <w:rtl/>
        </w:rPr>
        <w:t>ﰇ</w:t>
      </w:r>
      <w:r>
        <w:rPr>
          <w:rFonts w:ascii="QCF_P374" w:hAnsi="QCF_P374" w:cs="QCF_P374"/>
          <w:color w:val="000000"/>
          <w:sz w:val="2"/>
          <w:szCs w:val="2"/>
          <w:rtl/>
        </w:rPr>
        <w:t xml:space="preserve"> </w:t>
      </w:r>
      <w:r>
        <w:rPr>
          <w:rFonts w:ascii="QCF_P374" w:hAnsi="QCF_P374" w:cs="QCF_P374"/>
          <w:color w:val="000000"/>
          <w:sz w:val="29"/>
          <w:szCs w:val="29"/>
          <w:rtl/>
        </w:rPr>
        <w:t>ﰈ</w:t>
      </w:r>
      <w:r>
        <w:rPr>
          <w:rFonts w:ascii="QCF_P374" w:hAnsi="QCF_P374" w:cs="QCF_P374"/>
          <w:color w:val="000000"/>
          <w:sz w:val="2"/>
          <w:szCs w:val="2"/>
          <w:rtl/>
        </w:rPr>
        <w:t xml:space="preserve"> </w:t>
      </w:r>
      <w:r>
        <w:rPr>
          <w:rFonts w:ascii="QCF_P374" w:hAnsi="QCF_P374" w:cs="QCF_P374"/>
          <w:color w:val="000000"/>
          <w:sz w:val="29"/>
          <w:szCs w:val="29"/>
          <w:rtl/>
        </w:rPr>
        <w:t>ﰉ</w:t>
      </w:r>
      <w:r>
        <w:rPr>
          <w:rFonts w:ascii="QCF_P374" w:hAnsi="QCF_P374" w:cs="QCF_P374"/>
          <w:color w:val="000000"/>
          <w:sz w:val="2"/>
          <w:szCs w:val="2"/>
          <w:rtl/>
        </w:rPr>
        <w:t xml:space="preserve"> </w:t>
      </w:r>
      <w:r>
        <w:rPr>
          <w:rFonts w:ascii="QCF_P374" w:hAnsi="QCF_P374" w:cs="QCF_P374"/>
          <w:color w:val="000000"/>
          <w:sz w:val="29"/>
          <w:szCs w:val="29"/>
          <w:rtl/>
        </w:rPr>
        <w:t>ﰊ</w:t>
      </w:r>
      <w:r>
        <w:rPr>
          <w:rFonts w:ascii="QCF_P374" w:hAnsi="QCF_P374" w:cs="QCF_P374"/>
          <w:color w:val="000000"/>
          <w:sz w:val="2"/>
          <w:szCs w:val="2"/>
          <w:rtl/>
        </w:rPr>
        <w:t xml:space="preserve"> </w:t>
      </w:r>
      <w:r>
        <w:rPr>
          <w:rFonts w:ascii="QCF_P374" w:hAnsi="QCF_P374" w:cs="QCF_P374"/>
          <w:color w:val="000000"/>
          <w:sz w:val="29"/>
          <w:szCs w:val="29"/>
          <w:rtl/>
        </w:rPr>
        <w:t>ﰋ</w:t>
      </w:r>
      <w:r>
        <w:rPr>
          <w:rFonts w:ascii="QCF_P374" w:hAnsi="QCF_P374" w:cs="QCF_P374"/>
          <w:color w:val="000000"/>
          <w:sz w:val="2"/>
          <w:szCs w:val="2"/>
          <w:rtl/>
        </w:rPr>
        <w:t xml:space="preserve"> </w:t>
      </w:r>
      <w:r>
        <w:rPr>
          <w:rFonts w:ascii="QCF_P374" w:hAnsi="QCF_P374" w:cs="QCF_P374"/>
          <w:color w:val="000000"/>
          <w:sz w:val="29"/>
          <w:szCs w:val="29"/>
          <w:rtl/>
        </w:rPr>
        <w:t>ﰌ</w:t>
      </w:r>
      <w:r>
        <w:rPr>
          <w:rFonts w:ascii="QCF_P374" w:hAnsi="QCF_P374" w:cs="QCF_P374"/>
          <w:color w:val="000000"/>
          <w:sz w:val="2"/>
          <w:szCs w:val="2"/>
          <w:rtl/>
        </w:rPr>
        <w:t xml:space="preserve"> </w:t>
      </w:r>
      <w:r>
        <w:rPr>
          <w:rFonts w:ascii="QCF_P374" w:hAnsi="QCF_P374" w:cs="QCF_P374"/>
          <w:color w:val="000000"/>
          <w:sz w:val="29"/>
          <w:szCs w:val="29"/>
          <w:rtl/>
        </w:rPr>
        <w:t>ﰍ</w:t>
      </w:r>
      <w:r>
        <w:rPr>
          <w:rFonts w:ascii="QCF_P374" w:hAnsi="QCF_P374" w:cs="QCF_P374"/>
          <w:color w:val="000000"/>
          <w:sz w:val="2"/>
          <w:szCs w:val="2"/>
          <w:rtl/>
        </w:rPr>
        <w:t xml:space="preserve">  </w:t>
      </w:r>
      <w:r>
        <w:rPr>
          <w:rFonts w:ascii="QCF_P374" w:hAnsi="QCF_P374" w:cs="QCF_P374"/>
          <w:color w:val="000000"/>
          <w:sz w:val="29"/>
          <w:szCs w:val="29"/>
          <w:rtl/>
        </w:rPr>
        <w:t>ﰎ</w:t>
      </w:r>
      <w:r>
        <w:rPr>
          <w:rFonts w:ascii="QCF_P374" w:hAnsi="QCF_P374" w:cs="QCF_P374"/>
          <w:color w:val="000000"/>
          <w:sz w:val="2"/>
          <w:szCs w:val="2"/>
          <w:rtl/>
        </w:rPr>
        <w:t xml:space="preserve">  </w:t>
      </w:r>
      <w:r>
        <w:rPr>
          <w:rFonts w:ascii="QCF_P374" w:hAnsi="QCF_P374" w:cs="QCF_P374"/>
          <w:color w:val="000000"/>
          <w:sz w:val="29"/>
          <w:szCs w:val="29"/>
          <w:rtl/>
        </w:rPr>
        <w:t>ﰏ</w:t>
      </w:r>
      <w:r>
        <w:rPr>
          <w:rFonts w:ascii="QCF_P374" w:hAnsi="QCF_P374" w:cs="QCF_P374"/>
          <w:color w:val="000000"/>
          <w:sz w:val="2"/>
          <w:szCs w:val="2"/>
          <w:rtl/>
        </w:rPr>
        <w:t xml:space="preserve"> </w:t>
      </w:r>
      <w:r>
        <w:rPr>
          <w:rFonts w:ascii="QCF_P374" w:hAnsi="QCF_P374" w:cs="QCF_P374"/>
          <w:color w:val="000000"/>
          <w:sz w:val="29"/>
          <w:szCs w:val="29"/>
          <w:rtl/>
        </w:rPr>
        <w:t>ﰐ</w:t>
      </w:r>
      <w:r>
        <w:rPr>
          <w:rFonts w:ascii="QCF_P374" w:hAnsi="QCF_P374" w:cs="QCF_P374"/>
          <w:color w:val="000000"/>
          <w:sz w:val="2"/>
          <w:szCs w:val="2"/>
          <w:rtl/>
        </w:rPr>
        <w:t xml:space="preserve"> </w:t>
      </w:r>
      <w:r>
        <w:rPr>
          <w:rFonts w:ascii="QCF_P374" w:hAnsi="QCF_P374" w:cs="QCF_P374"/>
          <w:color w:val="000000"/>
          <w:sz w:val="29"/>
          <w:szCs w:val="29"/>
          <w:rtl/>
        </w:rPr>
        <w:t>ﰑ</w:t>
      </w:r>
      <w:r>
        <w:rPr>
          <w:rFonts w:ascii="QCF_P374" w:hAnsi="QCF_P374" w:cs="QCF_P374"/>
          <w:color w:val="000000"/>
          <w:sz w:val="2"/>
          <w:szCs w:val="2"/>
          <w:rtl/>
        </w:rPr>
        <w:t xml:space="preserve"> </w:t>
      </w:r>
      <w:r>
        <w:rPr>
          <w:rFonts w:ascii="QCF_P374" w:hAnsi="QCF_P374" w:cs="QCF_P374"/>
          <w:color w:val="000000"/>
          <w:sz w:val="29"/>
          <w:szCs w:val="29"/>
          <w:rtl/>
        </w:rPr>
        <w:t>ﰒ</w:t>
      </w:r>
      <w:r>
        <w:rPr>
          <w:rFonts w:ascii="QCF_P374" w:hAnsi="QCF_P374" w:cs="QCF_P374"/>
          <w:color w:val="000000"/>
          <w:sz w:val="2"/>
          <w:szCs w:val="2"/>
          <w:rtl/>
        </w:rPr>
        <w:t xml:space="preserve"> </w:t>
      </w:r>
      <w:r>
        <w:rPr>
          <w:rFonts w:ascii="QCF_P374" w:hAnsi="QCF_P374" w:cs="QCF_P374"/>
          <w:color w:val="000000"/>
          <w:sz w:val="29"/>
          <w:szCs w:val="29"/>
          <w:rtl/>
        </w:rPr>
        <w:t>ﰓ</w:t>
      </w:r>
      <w:r>
        <w:rPr>
          <w:rFonts w:ascii="QCF_P374" w:hAnsi="QCF_P374" w:cs="QCF_P374"/>
          <w:color w:val="000000"/>
          <w:sz w:val="2"/>
          <w:szCs w:val="2"/>
          <w:rtl/>
        </w:rPr>
        <w:t xml:space="preserve">   </w:t>
      </w:r>
      <w:r>
        <w:rPr>
          <w:rFonts w:ascii="QCF_P374" w:hAnsi="QCF_P374" w:cs="QCF_P374"/>
          <w:color w:val="000000"/>
          <w:sz w:val="29"/>
          <w:szCs w:val="29"/>
          <w:rtl/>
        </w:rPr>
        <w:t>ﰔ</w:t>
      </w:r>
      <w:r>
        <w:rPr>
          <w:rFonts w:ascii="QCF_P374" w:hAnsi="QCF_P374" w:cs="QCF_P374"/>
          <w:color w:val="000000"/>
          <w:sz w:val="2"/>
          <w:szCs w:val="2"/>
          <w:rtl/>
        </w:rPr>
        <w:t xml:space="preserve"> </w:t>
      </w:r>
      <w:r>
        <w:rPr>
          <w:rFonts w:ascii="QCF_P374" w:hAnsi="QCF_P374" w:cs="QCF_P374"/>
          <w:color w:val="000000"/>
          <w:sz w:val="29"/>
          <w:szCs w:val="29"/>
          <w:rtl/>
        </w:rPr>
        <w:t>ﰕ</w:t>
      </w:r>
      <w:r>
        <w:rPr>
          <w:rFonts w:ascii="QCF_P374" w:hAnsi="QCF_P374" w:cs="QCF_P374"/>
          <w:color w:val="000000"/>
          <w:sz w:val="2"/>
          <w:szCs w:val="2"/>
          <w:rtl/>
        </w:rPr>
        <w:t xml:space="preserve"> </w:t>
      </w:r>
      <w:r>
        <w:rPr>
          <w:rFonts w:ascii="QCF_P374" w:hAnsi="QCF_P374" w:cs="QCF_P374"/>
          <w:color w:val="000000"/>
          <w:sz w:val="29"/>
          <w:szCs w:val="29"/>
          <w:rtl/>
        </w:rPr>
        <w:t>ﰖ</w:t>
      </w:r>
      <w:r>
        <w:rPr>
          <w:rFonts w:ascii="QCF_P374" w:hAnsi="QCF_P374" w:cs="QCF_P374"/>
          <w:color w:val="000000"/>
          <w:sz w:val="2"/>
          <w:szCs w:val="2"/>
          <w:rtl/>
        </w:rPr>
        <w:t xml:space="preserve">     </w:t>
      </w:r>
      <w:r>
        <w:rPr>
          <w:rFonts w:ascii="QCF_P374" w:hAnsi="QCF_P374" w:cs="QCF_P374"/>
          <w:color w:val="000000"/>
          <w:sz w:val="29"/>
          <w:szCs w:val="29"/>
          <w:rtl/>
        </w:rPr>
        <w:t>ﰗ</w:t>
      </w:r>
      <w:r>
        <w:rPr>
          <w:rFonts w:ascii="QCF_P374" w:hAnsi="QCF_P374" w:cs="QCF_P374"/>
          <w:color w:val="000000"/>
          <w:sz w:val="2"/>
          <w:szCs w:val="2"/>
          <w:rtl/>
        </w:rPr>
        <w:t xml:space="preserve"> </w:t>
      </w:r>
      <w:r>
        <w:rPr>
          <w:rFonts w:ascii="QCF_BSML" w:hAnsi="QCF_BSML" w:cs="QCF_BSML"/>
          <w:color w:val="000000"/>
          <w:sz w:val="29"/>
          <w:szCs w:val="29"/>
          <w:rtl/>
        </w:rPr>
        <w:t>ﮊ</w:t>
      </w:r>
      <w:r w:rsidRPr="00A71CF0">
        <w:rPr>
          <w:rFonts w:cs="Lotus Linotype"/>
          <w:sz w:val="32"/>
          <w:szCs w:val="26"/>
          <w:rtl/>
        </w:rPr>
        <w:t>[الشعراء: 181-183]</w:t>
      </w:r>
      <w:r w:rsidRPr="00BA409D">
        <w:rPr>
          <w:rFonts w:cs="Lotus Linotype"/>
          <w:szCs w:val="28"/>
          <w:rtl/>
        </w:rPr>
        <w:t xml:space="preserve"> ولقد كانوا يفعلون ذلك بكل ثقة ورباطة جأش، بل كانوا يوبخون أقوامهم ويقرعونهم على ما يقعون فيه من الشرك والمنكرات، كما هو مبثوث في كتاب الله. </w:t>
      </w:r>
    </w:p>
    <w:p w:rsidR="00A41217" w:rsidRPr="00BA409D" w:rsidRDefault="00A41217" w:rsidP="004E2C57">
      <w:pPr>
        <w:pStyle w:val="NoSpacing"/>
        <w:widowControl w:val="0"/>
        <w:spacing w:line="192" w:lineRule="auto"/>
        <w:ind w:firstLine="425"/>
        <w:jc w:val="both"/>
        <w:rPr>
          <w:rFonts w:cs="Lotus Linotype"/>
          <w:szCs w:val="28"/>
          <w:rtl/>
        </w:rPr>
      </w:pPr>
      <w:r w:rsidRPr="00BA409D">
        <w:rPr>
          <w:rFonts w:cs="Lotus Linotype"/>
          <w:szCs w:val="28"/>
          <w:rtl/>
        </w:rPr>
        <w:t xml:space="preserve">ولقد كفانا الفريق الثاني بعض الجواب على الفريق الأول. أما الجواب على ما يكون من غلو واندفاع عند الفريق الثاني فلا بد أن يبدأ بالإقرار بأصل حجتهم ثم يأتي التفصيل، فأقول نعم نحن أتباع الرسل ويجب علينا الاتساء بهم ولكن في حدود قدراتنا، فسنة الرسل ليست شيئًا واحدًا، فمنها ما هو ميسور لكل أحد ومنها ما هو منوط بالقدرة ومنها ما هو سنة للعلماء دون العامة ومنها ما هو سنة للحكام والقضاة دون آحاد الناس. إن الذي حطم الأصنام هو الذي جعل الله النار عليه بردًا وسلامًا والذي قال لفرعون </w:t>
      </w:r>
      <w:r w:rsidRPr="004E2C57">
        <w:rPr>
          <w:rFonts w:ascii="QCF_BSML" w:hAnsi="QCF_BSML" w:cs="QCF_BSML"/>
          <w:color w:val="000000"/>
          <w:sz w:val="30"/>
          <w:szCs w:val="30"/>
          <w:rtl/>
        </w:rPr>
        <w:t xml:space="preserve">ﮋ </w:t>
      </w:r>
      <w:r w:rsidRPr="004E2C57">
        <w:rPr>
          <w:rFonts w:ascii="QCF_P292" w:hAnsi="QCF_P292" w:cs="QCF_P292"/>
          <w:color w:val="000000"/>
          <w:sz w:val="30"/>
          <w:szCs w:val="30"/>
          <w:rtl/>
        </w:rPr>
        <w:t xml:space="preserve">ﯩ ﯪ   ﯫ ﯬ </w:t>
      </w:r>
      <w:r w:rsidRPr="004E2C57">
        <w:rPr>
          <w:rFonts w:ascii="QCF_BSML" w:hAnsi="QCF_BSML" w:cs="QCF_BSML"/>
          <w:color w:val="000000"/>
          <w:sz w:val="30"/>
          <w:szCs w:val="30"/>
          <w:rtl/>
        </w:rPr>
        <w:t>ﮊ</w:t>
      </w:r>
      <w:r w:rsidRPr="00BA409D">
        <w:rPr>
          <w:rFonts w:cs="Lotus Linotype"/>
          <w:szCs w:val="28"/>
          <w:rtl/>
        </w:rPr>
        <w:t xml:space="preserve"> هو الذي شق الله له البحر فأنجاه وأغرق عدوه، إلخ. وبخلاف المعجزات، فإن هؤلاء الرسل الكرام وأصحابهم كان عندهم من الأخلاق وحسن السيرة والرصيد بين أقوامهم ما يجعل الحديث باللسان الرسالي لائقًا بهم. إن الذي يخاطب الناس بلسان إبراهيم أو صالح أو شعيب في الوقت الذي يحملون فيه صورة ذهنية مشوهة له ولأهل ملته ليس مؤتسيًا بهؤلاء الكرام في المعنى والحقيقة وإن ظهر خلاف ذلك. لقد علمنا رسول اللهﷺ التدرج في دعوة الناس، ففي الصحيحين عن ابن عباس </w:t>
      </w:r>
      <w:r w:rsidRPr="000C7E4D">
        <w:rPr>
          <w:rFonts w:ascii="Lotus Linotype" w:hAnsi="Lotus Linotype" w:cs="Lotus Linotype"/>
        </w:rPr>
        <w:sym w:font="AGA Arabesque" w:char="F074"/>
      </w:r>
      <w:r w:rsidRPr="00BA409D">
        <w:rPr>
          <w:rFonts w:cs="Lotus Linotype"/>
          <w:szCs w:val="28"/>
          <w:rtl/>
        </w:rPr>
        <w:t xml:space="preserve"> أن معاذا </w:t>
      </w:r>
      <w:r w:rsidRPr="000C7E4D">
        <w:rPr>
          <w:rFonts w:ascii="Lotus Linotype" w:hAnsi="Lotus Linotype" w:cs="Lotus Linotype"/>
        </w:rPr>
        <w:sym w:font="AGA Arabesque" w:char="F074"/>
      </w:r>
      <w:r w:rsidRPr="00BA409D">
        <w:rPr>
          <w:rFonts w:cs="Lotus Linotype"/>
          <w:szCs w:val="28"/>
          <w:rtl/>
        </w:rPr>
        <w:t xml:space="preserve"> قال بعثني رسول اللهﷺ قال: </w:t>
      </w:r>
    </w:p>
    <w:p w:rsidR="00A41217" w:rsidRPr="00BA409D" w:rsidRDefault="00A41217" w:rsidP="004E2C57">
      <w:pPr>
        <w:pStyle w:val="NoSpacing"/>
        <w:widowControl w:val="0"/>
        <w:pBdr>
          <w:top w:val="single" w:sz="24" w:space="1" w:color="auto"/>
          <w:left w:val="single" w:sz="24" w:space="4" w:color="auto"/>
          <w:bottom w:val="single" w:sz="24" w:space="1" w:color="auto"/>
          <w:right w:val="single" w:sz="24" w:space="4" w:color="auto"/>
        </w:pBdr>
        <w:spacing w:line="192" w:lineRule="auto"/>
        <w:ind w:left="614" w:right="720"/>
        <w:jc w:val="lowKashida"/>
        <w:rPr>
          <w:rFonts w:cs="Lotus Linotype"/>
          <w:szCs w:val="28"/>
          <w:rtl/>
          <w:lang w:bidi="ar-SA"/>
        </w:rPr>
      </w:pPr>
      <w:r w:rsidRPr="00A73D65">
        <w:rPr>
          <w:rFonts w:cs="Lotus Linotype"/>
          <w:color w:val="000000"/>
          <w:spacing w:val="-4"/>
          <w:sz w:val="40"/>
          <w:rtl/>
        </w:rPr>
        <w:t>«</w:t>
      </w:r>
      <w:r w:rsidRPr="00BA409D">
        <w:rPr>
          <w:rFonts w:cs="Lotus Linotype"/>
          <w:szCs w:val="28"/>
          <w:rtl/>
        </w:rPr>
        <w:t>إِنَّكَ تَأْتِي قَوْمًا مِنْ أَهْلِ الْكِتَابِ فَادْعُهُمْ إِلَى شَهَادَةِ أَنْ لَا إِلَهَ إِلَّا اللَّهُ وَأَنِّي رَسُولُ اللَّهِ فَإِنْ هُمْ أَطَاعُوا لِذَلِكَ فَأَعْلِمْهُمْ أَنَّ اللَّهَ افْتَرَضَ عَلَيْهِمْ خَمْسَ صَلَوَاتٍ فِي كُلِّ يَوْمٍ وَلَيْلَةٍ فَإِنْ هُمْ أَطَاعُوا لِذَلِكَ فَأَعْلِمْهُمْ أَنَّ اللَّهَ افْتَرَضَ عَلَيْهِمْ صَدَقَةً تُؤْخَذُ مِنْ أَغْنِيَائِهِمْ فَتُرَدُّ فِي فُقَرَائِهِمْ فَإِنْ هُمْ أَطَاعُوا لِذَلِكَ فَإِيَّاكَ وَكَرَائِمَ أَمْوَالِهِمْ وَاتَّقِ دَعْوَةَ الْمَظْلُومِ فَإِنَّهُ لَيْسَ بَيْنَهَا وَبَيْنَ اللَّهِ حِجَابٌ.»</w:t>
      </w:r>
    </w:p>
    <w:p w:rsidR="00A41217" w:rsidRPr="00BA409D" w:rsidRDefault="00A41217" w:rsidP="004E2C57">
      <w:pPr>
        <w:pStyle w:val="NoSpacing"/>
        <w:widowControl w:val="0"/>
        <w:spacing w:line="204" w:lineRule="auto"/>
        <w:ind w:firstLine="425"/>
        <w:jc w:val="both"/>
        <w:rPr>
          <w:rFonts w:cs="Lotus Linotype"/>
          <w:szCs w:val="28"/>
          <w:rtl/>
        </w:rPr>
      </w:pPr>
      <w:r w:rsidRPr="00BA409D">
        <w:rPr>
          <w:rFonts w:cs="Lotus Linotype"/>
          <w:szCs w:val="28"/>
          <w:rtl/>
        </w:rPr>
        <w:t xml:space="preserve">وهناك اعتبار آخر مهم في الجواب على حجة اتباع هدي الأنبياء في الصدع بالحق وشن الغارة على المنكرات الظاهرة وهو أن الأنبياء أرسلوا إلى أقوام فشت فيهم المنكرات وتعددت، وبخلاف منكر قوم لوط، فإنها في الأغلب كانت مشتركًا عامًا بين تلك الأقوام، ولكن الله يحكي لنا أنهم رتبوا أولوياتهم، فاختلف خطابهم في غير الأمر بعبادة الله الواحد. وهنا يأتي تقويم المثلية في إطار باقي المنكرات المتفشية في مجتمعاتنا، فهل هي فعلًا أعظم الشرور؟ والحديث هنا ليس عن الإيمان بالله ورسوله والكفر بهما، فالمقارنة ليست واردة أصلًا، ولكن الحديث عن الحروب الجائرة والبغي والربا الذي يرهق كاهل شرائح واسعة من المجتمع ويستغل ضعفها وفقرها. اللهم إن الدماء أعظم حرمة من الأعراض والقتل العدوان شر من تلك الفواحش كلها و </w:t>
      </w:r>
      <w:r w:rsidRPr="00A73D65">
        <w:rPr>
          <w:rFonts w:cs="Lotus Linotype"/>
          <w:color w:val="000000"/>
          <w:spacing w:val="-4"/>
          <w:sz w:val="40"/>
          <w:szCs w:val="32"/>
          <w:rtl/>
        </w:rPr>
        <w:lastRenderedPageBreak/>
        <w:t>«</w:t>
      </w:r>
      <w:r w:rsidRPr="00BA409D">
        <w:rPr>
          <w:rFonts w:cs="Lotus Linotype"/>
          <w:b/>
          <w:bCs/>
          <w:szCs w:val="28"/>
          <w:rtl/>
        </w:rPr>
        <w:t>دِرْهَمٌ رِبًا يَأْكُلُهُ الرَّجُلُ وَهُوَ يَعْلَمُ، أَشَدُّ مِنْ سِتَّةٍ وَثَلَاثِينَ زَنْيَةً</w:t>
      </w:r>
      <w:r w:rsidRPr="00BA409D">
        <w:rPr>
          <w:rFonts w:cs="Lotus Linotype"/>
          <w:szCs w:val="28"/>
          <w:rtl/>
        </w:rPr>
        <w:t>.»</w:t>
      </w:r>
      <w:r w:rsidRPr="00394A4E">
        <w:rPr>
          <w:position w:val="4"/>
          <w:szCs w:val="34"/>
          <w:vertAlign w:val="superscript"/>
          <w:rtl/>
        </w:rPr>
        <w:t>(</w:t>
      </w:r>
      <w:r w:rsidRPr="00394A4E">
        <w:rPr>
          <w:rStyle w:val="FootnoteReference"/>
          <w:rFonts w:cs="Traditional Arabic"/>
          <w:position w:val="4"/>
          <w:szCs w:val="34"/>
          <w:rtl/>
        </w:rPr>
        <w:footnoteReference w:id="51"/>
      </w:r>
      <w:r w:rsidRPr="00394A4E">
        <w:rPr>
          <w:position w:val="4"/>
          <w:szCs w:val="34"/>
          <w:vertAlign w:val="superscript"/>
          <w:rtl/>
        </w:rPr>
        <w:t>)</w:t>
      </w:r>
      <w:r w:rsidRPr="00BA409D">
        <w:rPr>
          <w:rFonts w:cs="Lotus Linotype"/>
          <w:szCs w:val="28"/>
          <w:rtl/>
        </w:rPr>
        <w:t xml:space="preserve"> وبهذا الجواب نجيب أيضًا عن حجة السفينة الواحدة وأننا جزء من هذه المجتمعات يصيبنا ما أصابها فينبغي أن نعمل لخيرها ونجتهد مع غيرنا في محاصرة الفساد، وهذا الكلام حق لا مراء فيه، بل نحن لا نقف بإرادة الخير عند حدود أوطاننا، فقد علمنا رسول اللهﷺ حب الخير لبني آدم إذ قال: </w:t>
      </w:r>
      <w:r w:rsidRPr="00A73D65">
        <w:rPr>
          <w:rFonts w:cs="Lotus Linotype"/>
          <w:color w:val="000000"/>
          <w:spacing w:val="-4"/>
          <w:sz w:val="40"/>
          <w:szCs w:val="32"/>
          <w:rtl/>
        </w:rPr>
        <w:t>«</w:t>
      </w:r>
      <w:r w:rsidRPr="00BA409D">
        <w:rPr>
          <w:rFonts w:cs="Lotus Linotype"/>
          <w:b/>
          <w:bCs/>
          <w:szCs w:val="28"/>
          <w:rtl/>
        </w:rPr>
        <w:t>لا يَبْلُغُ الْعَبْدُ حَقِيقَةَ الإِيمَانِ حَتَّى يُحِبَّ لِلنَّاسِ مَا يُحِبُّ لِنَفْسِهِ</w:t>
      </w:r>
      <w:r w:rsidRPr="00BA409D">
        <w:rPr>
          <w:rFonts w:cs="Lotus Linotype"/>
          <w:szCs w:val="28"/>
          <w:rtl/>
        </w:rPr>
        <w:t>.»</w:t>
      </w:r>
      <w:r w:rsidRPr="00394A4E">
        <w:rPr>
          <w:position w:val="4"/>
          <w:szCs w:val="34"/>
          <w:vertAlign w:val="superscript"/>
          <w:rtl/>
        </w:rPr>
        <w:t>(</w:t>
      </w:r>
      <w:r w:rsidRPr="00394A4E">
        <w:rPr>
          <w:rStyle w:val="FootnoteReference"/>
          <w:rFonts w:cs="Traditional Arabic"/>
          <w:position w:val="4"/>
          <w:szCs w:val="34"/>
          <w:rtl/>
        </w:rPr>
        <w:footnoteReference w:id="52"/>
      </w:r>
      <w:r w:rsidRPr="00394A4E">
        <w:rPr>
          <w:position w:val="4"/>
          <w:szCs w:val="34"/>
          <w:vertAlign w:val="superscript"/>
          <w:rtl/>
        </w:rPr>
        <w:t>)</w:t>
      </w:r>
      <w:r w:rsidRPr="00BA409D">
        <w:rPr>
          <w:rFonts w:cs="Lotus Linotype"/>
          <w:szCs w:val="28"/>
          <w:rtl/>
        </w:rPr>
        <w:t xml:space="preserve"> ولكن من أراد دفع الشرور عن مجتمعاتنا والانخراط في الإصلاح في الفضاءات العامة سيجد مجالات أخرى أوسع وأكثر أولوية وأقل تكلفة سياسيًا وإعلاميًا من مكافحة المثلية. </w:t>
      </w:r>
    </w:p>
    <w:p w:rsidR="00A41217" w:rsidRPr="004E2C57" w:rsidRDefault="00A41217" w:rsidP="004E2C57">
      <w:pPr>
        <w:pStyle w:val="Heading3"/>
        <w:spacing w:before="0" w:line="204" w:lineRule="auto"/>
        <w:rPr>
          <w:rFonts w:cs="الحوكمي عنوان2"/>
          <w:b w:val="0"/>
          <w:bCs w:val="0"/>
          <w:sz w:val="28"/>
          <w:szCs w:val="28"/>
          <w:rtl/>
        </w:rPr>
      </w:pPr>
      <w:bookmarkStart w:id="35" w:name="_Toc444382248"/>
      <w:r w:rsidRPr="004E2C57">
        <w:rPr>
          <w:rFonts w:cs="الحوكمي عنوان2"/>
          <w:b w:val="0"/>
          <w:bCs w:val="0"/>
          <w:sz w:val="28"/>
          <w:szCs w:val="28"/>
          <w:rtl/>
        </w:rPr>
        <w:t>الإشكالية الإعلامية والسياسية في الانخراط في هذا الصراع:</w:t>
      </w:r>
      <w:bookmarkEnd w:id="35"/>
    </w:p>
    <w:p w:rsidR="00A41217" w:rsidRPr="00BA409D" w:rsidRDefault="00A41217" w:rsidP="004E2C57">
      <w:pPr>
        <w:pStyle w:val="NoSpacing"/>
        <w:widowControl w:val="0"/>
        <w:spacing w:line="204" w:lineRule="auto"/>
        <w:ind w:firstLine="425"/>
        <w:jc w:val="both"/>
        <w:rPr>
          <w:rFonts w:cs="Lotus Linotype"/>
          <w:szCs w:val="28"/>
          <w:rtl/>
        </w:rPr>
      </w:pPr>
      <w:r w:rsidRPr="00BA409D">
        <w:rPr>
          <w:rFonts w:cs="Lotus Linotype"/>
          <w:szCs w:val="28"/>
          <w:rtl/>
        </w:rPr>
        <w:t xml:space="preserve">سواء أصاب المسلمون أو أخطؤوا فإن القاعدة التي يبنون عليها مطالبتهم بالمساواة وعدم التمييز ضدهم هي ليبرالية المجتمع، ولذلك سيبدو خطابهم متناقضًا إذا ما كانوا جزءًا من رأس الحربة ضد المثليين. هذا لا يعني تناقض الخطاب حقيقة، ولكن يكفي تناقضه في ذهن المستقبل للاحتراز منه. بالإضافة إلى ذلك، فسوف يخسر المسلمون مناصريهم من اليسار والحال بين المحافظين من اليمين كما تعرفون، فلن يبقى إلا طائفة قليلة العدد والحيلة تدافع معهم عن حقوقهم. </w:t>
      </w:r>
    </w:p>
    <w:p w:rsidR="00A41217" w:rsidRPr="00BA409D" w:rsidRDefault="00A41217" w:rsidP="004E2C57">
      <w:pPr>
        <w:pStyle w:val="NoSpacing"/>
        <w:widowControl w:val="0"/>
        <w:spacing w:before="120" w:line="216" w:lineRule="auto"/>
        <w:ind w:firstLine="425"/>
        <w:jc w:val="both"/>
        <w:rPr>
          <w:rFonts w:cs="Lotus Linotype"/>
          <w:szCs w:val="28"/>
          <w:rtl/>
        </w:rPr>
      </w:pPr>
      <w:r w:rsidRPr="00BA409D">
        <w:rPr>
          <w:rFonts w:cs="Lotus Linotype"/>
          <w:szCs w:val="28"/>
          <w:rtl/>
        </w:rPr>
        <w:t xml:space="preserve">عن عائشة - رضي الله عنها - أن رسول اللهﷺ قال: </w:t>
      </w:r>
      <w:r w:rsidRPr="00A73D65">
        <w:rPr>
          <w:rFonts w:cs="Lotus Linotype"/>
          <w:color w:val="000000"/>
          <w:spacing w:val="-4"/>
          <w:sz w:val="40"/>
          <w:szCs w:val="32"/>
          <w:rtl/>
        </w:rPr>
        <w:t>«</w:t>
      </w:r>
      <w:r w:rsidRPr="00BA409D">
        <w:rPr>
          <w:rFonts w:cs="Lotus Linotype"/>
          <w:szCs w:val="28"/>
          <w:rtl/>
        </w:rPr>
        <w:t>اكْلَفُوا مِنَ الأَعْمَالِ مَا تُطِيقُونَ»</w:t>
      </w:r>
      <w:r w:rsidRPr="00394A4E">
        <w:rPr>
          <w:position w:val="4"/>
          <w:szCs w:val="34"/>
          <w:vertAlign w:val="superscript"/>
          <w:rtl/>
        </w:rPr>
        <w:t>(</w:t>
      </w:r>
      <w:r w:rsidRPr="00394A4E">
        <w:rPr>
          <w:rStyle w:val="FootnoteReference"/>
          <w:rFonts w:cs="Traditional Arabic"/>
          <w:position w:val="4"/>
          <w:szCs w:val="34"/>
          <w:rtl/>
        </w:rPr>
        <w:footnoteReference w:id="53"/>
      </w:r>
      <w:r w:rsidRPr="00394A4E">
        <w:rPr>
          <w:position w:val="4"/>
          <w:szCs w:val="34"/>
          <w:vertAlign w:val="superscript"/>
          <w:rtl/>
        </w:rPr>
        <w:t>)</w:t>
      </w: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r w:rsidRPr="004E2C57">
        <w:rPr>
          <w:rFonts w:cs="KFGQPC Uthman Taha Naskh"/>
          <w:sz w:val="32"/>
          <w:szCs w:val="32"/>
          <w:rtl/>
        </w:rPr>
        <w:t>وصلى الله على محمد وآله والحمد لله رب العالمين....</w:t>
      </w: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Default="00A41217" w:rsidP="004E2C57">
      <w:pPr>
        <w:pStyle w:val="NoSpacing"/>
        <w:widowControl w:val="0"/>
        <w:spacing w:line="216" w:lineRule="auto"/>
        <w:jc w:val="center"/>
        <w:rPr>
          <w:rFonts w:cs="KFGQPC Uthman Taha Naskh"/>
          <w:sz w:val="32"/>
          <w:szCs w:val="32"/>
          <w:rtl/>
        </w:rPr>
      </w:pPr>
    </w:p>
    <w:p w:rsidR="00A41217" w:rsidRPr="004E2C57" w:rsidRDefault="00A41217" w:rsidP="004E2C57">
      <w:pPr>
        <w:pStyle w:val="NoSpacing"/>
        <w:widowControl w:val="0"/>
        <w:spacing w:line="216" w:lineRule="auto"/>
        <w:jc w:val="center"/>
        <w:rPr>
          <w:rFonts w:cs="KFGQPC Uthman Taha Naskh"/>
          <w:sz w:val="32"/>
          <w:szCs w:val="32"/>
          <w:rtl/>
        </w:rPr>
      </w:pPr>
    </w:p>
    <w:p w:rsidR="00A41217" w:rsidRPr="004E2C57" w:rsidRDefault="00A41217" w:rsidP="004E2C57">
      <w:pPr>
        <w:widowControl w:val="0"/>
        <w:bidi/>
        <w:spacing w:after="0" w:line="216" w:lineRule="auto"/>
        <w:jc w:val="center"/>
        <w:outlineLvl w:val="0"/>
        <w:rPr>
          <w:rFonts w:cs="الحوكمي عنوان2"/>
          <w:sz w:val="42"/>
          <w:szCs w:val="42"/>
          <w:rtl/>
        </w:rPr>
      </w:pPr>
      <w:bookmarkStart w:id="36" w:name="_Toc444382249"/>
      <w:r w:rsidRPr="004E2C57">
        <w:rPr>
          <w:rFonts w:cs="الحوكمي عنوان2" w:hint="cs"/>
          <w:sz w:val="42"/>
          <w:szCs w:val="42"/>
          <w:rtl/>
        </w:rPr>
        <w:lastRenderedPageBreak/>
        <w:t>المراجع</w:t>
      </w:r>
      <w:bookmarkEnd w:id="36"/>
    </w:p>
    <w:p w:rsidR="00A41217" w:rsidRPr="00513F71" w:rsidRDefault="00A41217" w:rsidP="00513F71">
      <w:pPr>
        <w:bidi/>
        <w:spacing w:after="0" w:line="240" w:lineRule="auto"/>
        <w:jc w:val="center"/>
        <w:rPr>
          <w:rFonts w:cs="الحوكمي عنوان2"/>
          <w:sz w:val="30"/>
          <w:szCs w:val="30"/>
          <w:rtl/>
        </w:rPr>
      </w:pPr>
      <w:r w:rsidRPr="00513F71">
        <w:rPr>
          <w:rFonts w:cs="الحوكمي عنوان2" w:hint="cs"/>
          <w:sz w:val="30"/>
          <w:szCs w:val="30"/>
          <w:rtl/>
        </w:rPr>
        <w:t>لسهولة</w:t>
      </w:r>
      <w:r w:rsidRPr="00513F71">
        <w:rPr>
          <w:rFonts w:cs="الحوكمي عنوان2"/>
          <w:sz w:val="30"/>
          <w:szCs w:val="30"/>
          <w:rtl/>
        </w:rPr>
        <w:t xml:space="preserve"> </w:t>
      </w:r>
      <w:r w:rsidRPr="00513F71">
        <w:rPr>
          <w:rFonts w:cs="الحوكمي عنوان2" w:hint="cs"/>
          <w:sz w:val="30"/>
          <w:szCs w:val="30"/>
          <w:rtl/>
        </w:rPr>
        <w:t>الكشف</w:t>
      </w:r>
      <w:r w:rsidRPr="00513F71">
        <w:rPr>
          <w:rFonts w:cs="الحوكمي عنوان2"/>
          <w:sz w:val="30"/>
          <w:szCs w:val="30"/>
          <w:rtl/>
        </w:rPr>
        <w:t xml:space="preserve"> </w:t>
      </w:r>
      <w:r w:rsidRPr="00513F71">
        <w:rPr>
          <w:rFonts w:cs="الحوكمي عنوان2" w:hint="cs"/>
          <w:sz w:val="30"/>
          <w:szCs w:val="30"/>
          <w:rtl/>
        </w:rPr>
        <w:t>عن</w:t>
      </w:r>
      <w:r w:rsidRPr="00513F71">
        <w:rPr>
          <w:rFonts w:cs="الحوكمي عنوان2"/>
          <w:sz w:val="30"/>
          <w:szCs w:val="30"/>
          <w:rtl/>
        </w:rPr>
        <w:t xml:space="preserve"> </w:t>
      </w:r>
      <w:r w:rsidRPr="00513F71">
        <w:rPr>
          <w:rFonts w:cs="الحوكمي عنوان2" w:hint="cs"/>
          <w:sz w:val="30"/>
          <w:szCs w:val="30"/>
          <w:rtl/>
        </w:rPr>
        <w:t>الأحاديث،</w:t>
      </w:r>
      <w:r w:rsidRPr="00513F71">
        <w:rPr>
          <w:rFonts w:cs="الحوكمي عنوان2"/>
          <w:sz w:val="30"/>
          <w:szCs w:val="30"/>
          <w:rtl/>
        </w:rPr>
        <w:t xml:space="preserve"> </w:t>
      </w:r>
      <w:r w:rsidRPr="00513F71">
        <w:rPr>
          <w:rFonts w:cs="الحوكمي عنوان2" w:hint="cs"/>
          <w:sz w:val="30"/>
          <w:szCs w:val="30"/>
          <w:rtl/>
        </w:rPr>
        <w:t>لم</w:t>
      </w:r>
      <w:r w:rsidRPr="00513F71">
        <w:rPr>
          <w:rFonts w:cs="الحوكمي عنوان2"/>
          <w:sz w:val="30"/>
          <w:szCs w:val="30"/>
          <w:rtl/>
        </w:rPr>
        <w:t xml:space="preserve"> </w:t>
      </w:r>
      <w:r w:rsidRPr="00513F71">
        <w:rPr>
          <w:rFonts w:cs="الحوكمي عنوان2" w:hint="cs"/>
          <w:sz w:val="30"/>
          <w:szCs w:val="30"/>
          <w:rtl/>
        </w:rPr>
        <w:t>تذكر</w:t>
      </w:r>
      <w:r w:rsidRPr="00513F71">
        <w:rPr>
          <w:rFonts w:cs="الحوكمي عنوان2"/>
          <w:sz w:val="30"/>
          <w:szCs w:val="30"/>
          <w:rtl/>
        </w:rPr>
        <w:t xml:space="preserve"> </w:t>
      </w:r>
      <w:r w:rsidRPr="00513F71">
        <w:rPr>
          <w:rFonts w:cs="الحوكمي عنوان2" w:hint="cs"/>
          <w:sz w:val="30"/>
          <w:szCs w:val="30"/>
          <w:rtl/>
        </w:rPr>
        <w:t>كتب</w:t>
      </w:r>
      <w:r w:rsidRPr="00513F71">
        <w:rPr>
          <w:rFonts w:cs="الحوكمي عنوان2"/>
          <w:sz w:val="30"/>
          <w:szCs w:val="30"/>
          <w:rtl/>
        </w:rPr>
        <w:t xml:space="preserve"> </w:t>
      </w:r>
      <w:r w:rsidRPr="00513F71">
        <w:rPr>
          <w:rFonts w:cs="الحوكمي عنوان2" w:hint="cs"/>
          <w:sz w:val="30"/>
          <w:szCs w:val="30"/>
          <w:rtl/>
        </w:rPr>
        <w:t>الحديث</w:t>
      </w:r>
      <w:r w:rsidRPr="00513F71">
        <w:rPr>
          <w:rFonts w:cs="الحوكمي عنوان2"/>
          <w:sz w:val="30"/>
          <w:szCs w:val="30"/>
          <w:rtl/>
        </w:rPr>
        <w:t xml:space="preserve"> </w:t>
      </w:r>
      <w:r w:rsidRPr="00513F71">
        <w:rPr>
          <w:rFonts w:cs="الحوكمي عنوان2" w:hint="cs"/>
          <w:sz w:val="30"/>
          <w:szCs w:val="30"/>
          <w:rtl/>
        </w:rPr>
        <w:t>المعروفة</w:t>
      </w:r>
      <w:r w:rsidRPr="00513F71">
        <w:rPr>
          <w:rFonts w:cs="الحوكمي عنوان2"/>
          <w:sz w:val="30"/>
          <w:szCs w:val="30"/>
          <w:rtl/>
        </w:rPr>
        <w:t xml:space="preserve"> </w:t>
      </w:r>
      <w:r w:rsidRPr="00513F71">
        <w:rPr>
          <w:rFonts w:cs="الحوكمي عنوان2" w:hint="cs"/>
          <w:sz w:val="30"/>
          <w:szCs w:val="30"/>
          <w:rtl/>
        </w:rPr>
        <w:t>هنا</w:t>
      </w:r>
      <w:r w:rsidRPr="00513F71">
        <w:rPr>
          <w:rFonts w:cs="الحوكمي عنوان2"/>
          <w:sz w:val="30"/>
          <w:szCs w:val="30"/>
          <w:rtl/>
        </w:rPr>
        <w:t>.</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lang w:bidi="ar-EG"/>
        </w:rPr>
      </w:pPr>
      <w:r w:rsidRPr="00BA409D">
        <w:rPr>
          <w:rFonts w:ascii="Lotus Linotype" w:hAnsi="Lotus Linotype" w:cs="Lotus Linotype"/>
          <w:b/>
          <w:bCs/>
          <w:noProof/>
          <w:sz w:val="30"/>
          <w:szCs w:val="28"/>
          <w:rtl/>
          <w:lang w:bidi="ar-EG"/>
        </w:rPr>
        <w:t xml:space="preserve">أحكام أهل الذمة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محمد بن أبي بكر بن أيوب بن سعد شمس الدين ابن قيم الجوزية.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الدمام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رمادى للنشر، 1418هـ </w:t>
      </w:r>
      <w:r w:rsidRPr="004E2C57">
        <w:rPr>
          <w:rFonts w:ascii="Lotus Linotype" w:hAnsi="Lotus Linotype"/>
          <w:noProof/>
          <w:sz w:val="30"/>
          <w:szCs w:val="30"/>
          <w:rtl/>
          <w:lang w:bidi="ar-EG"/>
        </w:rPr>
        <w:t>–</w:t>
      </w:r>
      <w:r w:rsidRPr="00BA409D">
        <w:rPr>
          <w:rFonts w:ascii="Lotus Linotype" w:hAnsi="Lotus Linotype" w:cs="Lotus Linotype"/>
          <w:noProof/>
          <w:sz w:val="30"/>
          <w:szCs w:val="28"/>
          <w:rtl/>
          <w:lang w:bidi="ar-EG"/>
        </w:rPr>
        <w:t xml:space="preserve"> 1997م.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أحكام أهل الملل والردة من الجامع لمسائل الإمام أحمد بن حنبل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بكر أحمد بن محمد بن هارون بن يزيد الخَلَّال البغدادي الحنبلي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المحرر سيد كسروي حسن.</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بيروت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الكتب العلمية، 1414 هـ - 1994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 .</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أدب الدنيا والدين</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الحسن علي بن محمد بن محمد بن حبيب البصري البغدادي الشهير بالماوردي.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بيروت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مكتبة الحياة، 1986م.</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rPr>
      </w:pPr>
      <w:r w:rsidRPr="00BA409D">
        <w:rPr>
          <w:rFonts w:ascii="Lotus Linotype" w:hAnsi="Lotus Linotype" w:cs="Lotus Linotype"/>
          <w:b/>
          <w:bCs/>
          <w:noProof/>
          <w:sz w:val="30"/>
          <w:szCs w:val="28"/>
          <w:rtl/>
          <w:lang w:bidi="ar-EG"/>
        </w:rPr>
        <w:t xml:space="preserve">اقتضاء الصراط المستقيم لمخالفة أصحاب الجحيم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rPr>
        <w:t> </w:t>
      </w:r>
      <w:r w:rsidRPr="00BA409D">
        <w:rPr>
          <w:rFonts w:ascii="Lotus Linotype" w:hAnsi="Lotus Linotype" w:cs="Lotus Linotype"/>
          <w:noProof/>
          <w:sz w:val="30"/>
          <w:szCs w:val="28"/>
          <w:rtl/>
        </w:rPr>
        <w:t>/ المؤلف تقي الدين أبو العباس أحمد بن عبد الحليم بن عبد السلام بن تيمية الحراني الحنبلي.</w:t>
      </w:r>
      <w:r w:rsidRPr="004E2C57">
        <w:rPr>
          <w:rFonts w:ascii="Lotus Linotype" w:hAnsi="Lotus Linotype"/>
          <w:noProof/>
          <w:sz w:val="30"/>
          <w:szCs w:val="30"/>
          <w:rtl/>
        </w:rPr>
        <w:t> </w:t>
      </w:r>
      <w:r w:rsidRPr="00BA409D">
        <w:rPr>
          <w:rFonts w:ascii="Lotus Linotype" w:hAnsi="Lotus Linotype" w:cs="Lotus Linotype"/>
          <w:noProof/>
          <w:sz w:val="30"/>
          <w:szCs w:val="28"/>
          <w:rtl/>
        </w:rPr>
        <w:t>- بيروت</w:t>
      </w:r>
      <w:r w:rsidRPr="004E2C57">
        <w:rPr>
          <w:rFonts w:ascii="Lotus Linotype" w:hAnsi="Lotus Linotype"/>
          <w:noProof/>
          <w:sz w:val="30"/>
          <w:szCs w:val="30"/>
          <w:rtl/>
        </w:rPr>
        <w:t> </w:t>
      </w:r>
      <w:r w:rsidRPr="00BA409D">
        <w:rPr>
          <w:rFonts w:ascii="Lotus Linotype" w:hAnsi="Lotus Linotype" w:cs="Lotus Linotype"/>
          <w:noProof/>
          <w:sz w:val="30"/>
          <w:szCs w:val="28"/>
          <w:rtl/>
        </w:rPr>
        <w:t>: دار عالم الكتب، 1419هـ - 1999م.</w:t>
      </w:r>
      <w:r w:rsidRPr="004E2C57">
        <w:rPr>
          <w:rFonts w:ascii="Lotus Linotype" w:hAnsi="Lotus Linotype"/>
          <w:noProof/>
          <w:sz w:val="30"/>
          <w:szCs w:val="30"/>
          <w:rtl/>
        </w:rPr>
        <w:t> </w:t>
      </w:r>
      <w:r w:rsidRPr="00BA409D">
        <w:rPr>
          <w:rFonts w:ascii="Lotus Linotype" w:hAnsi="Lotus Linotype" w:cs="Lotus Linotype"/>
          <w:noProof/>
          <w:sz w:val="30"/>
          <w:szCs w:val="28"/>
          <w:rtl/>
        </w:rPr>
        <w:t>- السابع.</w:t>
      </w:r>
    </w:p>
    <w:p w:rsidR="00A41217" w:rsidRPr="00BA409D" w:rsidRDefault="00A41217" w:rsidP="00335934">
      <w:pPr>
        <w:pStyle w:val="Bibliography"/>
        <w:widowControl w:val="0"/>
        <w:numPr>
          <w:ilvl w:val="0"/>
          <w:numId w:val="23"/>
        </w:numPr>
        <w:bidi/>
        <w:spacing w:before="120" w:after="0" w:line="216" w:lineRule="auto"/>
        <w:ind w:left="0" w:firstLine="0"/>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الإبانة الكبرى لابن بطة</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عبد الله عبيد الله بن محمد بن محمد بن حمدان العُكْبَري المعروف بابن بَطَّة العكبري.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الرياض</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الراية للنشر والتوزيع.</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الاعْتِصَام</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إبراهيم بن موسى بن محمد اللخمي الغرناطي الشهير بالشاطبي.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السعودية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ابن الجوزي للنشر والتوزيع، 1429 هـ - 2008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البناية شرح الهداية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محمد محمود بن أحمد بن موسى بن أحمد بن حسين الغيتابى الحنفى بدر الدين العينى.</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بيروت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الكتب العلمية، 1420 هـ - 2000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التاج والإكليل لمختصر خليل</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محمد بن يوسف بن أبي القاسم بن يوسف العبدري الغرناطي أبو عبد الله المواق المالكي.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بيروت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الكتب العلمية، 1416هـ-1994م.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السيرة النبوية الصحيحة محاولة لتطبيق قواعد المحدثين في نقد روايات السيرة النبوية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أكرم ضياء العمري.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المدينة المنورة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مكتبة العلوم والحكم، 1415 هـ - 1994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السادس.</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الشريعة</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بكر محمد بن الحسين بن عبد الله الآجُرِّيُّ البغدادي.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الرياض</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الوطن، 1420 هـ - 1999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الثاني.</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lastRenderedPageBreak/>
        <w:t xml:space="preserve">المبسوط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محمد بن أحمد بن أبي سهل شمس الأئمة السرخسي.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بيروت </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المعرفة، 1414هـ - 1993م.</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المغني</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محمد موفق الدين عبد الله بن أحمد بن محمد بن قدامة الجماعيلي المقدسي ثم الدمشقي الحنبلي.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القاهرة </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مكتبة القاهرة، 1388هـ - 1968م.</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الموافقات</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إبراهيم بن موسى بن محمد اللخمي الغرناطي الشهير بالشاطبي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المحرر أبو عبيدة مشهور بن حسن آل سلمان.</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القاهرة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ابن عفان، 1417هـ - 1997م.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الموطأ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مالك بن أنس بن مالك بن عامر الأصبحي المدني.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أبو ظبي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مؤسسة زايد بن سلطان آل نهيان للأعمال الخيرية والإنسانية، 1425 هـ - 2004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بلغة السالك لأقرب المسالك المعروف بحاشية الصاوي على الشرح الصغير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العباس أحمد بن محمد الخلوتي الشهير بالصاوي المالكي.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[مكان غير معروف]</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المعارف.</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تحفة المحتاج في شرح المنهاج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أحمد بن محمد بن علي بن حجر الهيتمي.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مصر </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المكتبة التجارية الكبرى، 1357 هـ - 1983 م.</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جامع العلوم والحكم في شرح خمسين حديثا من جوامع الكلم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زين الدين عبد الرحمن بن أحمد بن رجب بن الحسن السَلامي البغدادي ثم الدمشقي الحنبلي.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بيروت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مؤسسة الرسالة، 1422هـ - 2001م.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السابع.</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rPr>
      </w:pPr>
      <w:r w:rsidRPr="00BA409D">
        <w:rPr>
          <w:rFonts w:ascii="Lotus Linotype" w:hAnsi="Lotus Linotype" w:cs="Lotus Linotype"/>
          <w:b/>
          <w:bCs/>
          <w:noProof/>
          <w:sz w:val="30"/>
          <w:szCs w:val="28"/>
          <w:rtl/>
          <w:lang w:bidi="ar-EG"/>
        </w:rPr>
        <w:t>حاشية السيوطي على سنن النسائي</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rPr>
        <w:t> </w:t>
      </w:r>
      <w:r w:rsidRPr="00BA409D">
        <w:rPr>
          <w:rFonts w:ascii="Lotus Linotype" w:hAnsi="Lotus Linotype" w:cs="Lotus Linotype"/>
          <w:noProof/>
          <w:sz w:val="30"/>
          <w:szCs w:val="28"/>
          <w:rtl/>
        </w:rPr>
        <w:t>/ المؤلف جلال الدين عبد الرحمن بن أبي بكر السيوطي.</w:t>
      </w:r>
      <w:r w:rsidRPr="004E2C57">
        <w:rPr>
          <w:rFonts w:ascii="Lotus Linotype" w:hAnsi="Lotus Linotype"/>
          <w:noProof/>
          <w:sz w:val="30"/>
          <w:szCs w:val="30"/>
          <w:rtl/>
        </w:rPr>
        <w:t> </w:t>
      </w:r>
      <w:r w:rsidRPr="00BA409D">
        <w:rPr>
          <w:rFonts w:ascii="Lotus Linotype" w:hAnsi="Lotus Linotype" w:cs="Lotus Linotype"/>
          <w:noProof/>
          <w:sz w:val="30"/>
          <w:szCs w:val="28"/>
          <w:rtl/>
        </w:rPr>
        <w:t>- حلب</w:t>
      </w:r>
      <w:r w:rsidRPr="004E2C57">
        <w:rPr>
          <w:rFonts w:ascii="Lotus Linotype" w:hAnsi="Lotus Linotype"/>
          <w:noProof/>
          <w:sz w:val="30"/>
          <w:szCs w:val="30"/>
          <w:rtl/>
        </w:rPr>
        <w:t> </w:t>
      </w:r>
      <w:r w:rsidRPr="00BA409D">
        <w:rPr>
          <w:rFonts w:ascii="Lotus Linotype" w:hAnsi="Lotus Linotype" w:cs="Lotus Linotype"/>
          <w:noProof/>
          <w:sz w:val="30"/>
          <w:szCs w:val="28"/>
          <w:rtl/>
        </w:rPr>
        <w:t>: مكتب المطبوعات الإسلامية، 1406هـ - 1986م.</w:t>
      </w:r>
      <w:r w:rsidRPr="004E2C57">
        <w:rPr>
          <w:rFonts w:ascii="Lotus Linotype" w:hAnsi="Lotus Linotype"/>
          <w:noProof/>
          <w:sz w:val="30"/>
          <w:szCs w:val="30"/>
          <w:rtl/>
        </w:rPr>
        <w:t> </w:t>
      </w:r>
      <w:r w:rsidRPr="00BA409D">
        <w:rPr>
          <w:rFonts w:ascii="Lotus Linotype" w:hAnsi="Lotus Linotype" w:cs="Lotus Linotype"/>
          <w:noProof/>
          <w:sz w:val="30"/>
          <w:szCs w:val="28"/>
          <w:rtl/>
        </w:rPr>
        <w:t>- الثاني.</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صحيح الأدب المفرد للإمام البخاري</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محمد بن إسماعيل بن إبراهيم بن المغيرة البخاري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المحرر محمد ناصر الدين الألباني.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الجبيل</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الصديق للنشر والتوزيع، 1418 هـ - 1997 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الرابع.</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فتاوى معاصرة</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يوسف القرضاوي.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الكويت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القلم، 1424 هـ - 2003 م.</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فتح الباري شرح صحيح البخاري</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أحمد بن علي بن حجر أبو الفضل العسقلاني الشافعي.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بيروت </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المعرفة، 1379 هـ.</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فتح المغيث بشرح الفية الحديث للعراقي</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المؤلف شمس الدين أبو الخير محمد بن عبد الرحمن بن محمد بن أبي </w:t>
      </w:r>
      <w:r w:rsidRPr="00BA409D">
        <w:rPr>
          <w:rFonts w:ascii="Lotus Linotype" w:hAnsi="Lotus Linotype" w:cs="Lotus Linotype"/>
          <w:noProof/>
          <w:sz w:val="30"/>
          <w:szCs w:val="28"/>
          <w:rtl/>
          <w:lang w:bidi="ar-EG"/>
        </w:rPr>
        <w:lastRenderedPageBreak/>
        <w:t>بكر بن عثمان بن محمد السخاوي.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القاهرة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مكتبة السنة، 1424هـ - 2003م.</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الأول.</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قواعد الأحكام في مصالح الأنام</w:t>
      </w:r>
      <w:r w:rsidRPr="00BA409D">
        <w:rPr>
          <w:rFonts w:ascii="Lotus Linotype" w:hAnsi="Lotus Linotype" w:cs="Lotus Linotype"/>
          <w:noProof/>
          <w:sz w:val="30"/>
          <w:szCs w:val="28"/>
          <w:rtl/>
          <w:lang w:bidi="ar-EG"/>
        </w:rPr>
        <w:t xml:space="preserve"> [كتاب]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محمد عز الدين عبد العزيز بن عبد السلام بن أبي القاسم بن الحسن السلمي.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xml:space="preserve">- القاهرة </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مكتبة الكليات الأزهرية، 1414 هـ - 1991 م .</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كشاف القناع عن متن الإقناع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منصور بن يونس بن صلاح الدين ابن حسن بن إدريس البهوتى الحنبلى.</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بيروت</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دار الكتب العلمية.</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مجمع الزوائد ومنبع الفوائد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أبو الحسن نور الدين علي بن أبي بكر بن سليمان الهيثمي.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القاهرة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مكتبة القدسي، 1414 هـ - 1994 م.</w:t>
      </w:r>
    </w:p>
    <w:p w:rsidR="00A41217" w:rsidRPr="00BA409D" w:rsidRDefault="00A41217" w:rsidP="00335934">
      <w:pPr>
        <w:pStyle w:val="Bibliography"/>
        <w:widowControl w:val="0"/>
        <w:numPr>
          <w:ilvl w:val="0"/>
          <w:numId w:val="23"/>
        </w:numPr>
        <w:tabs>
          <w:tab w:val="clear" w:pos="720"/>
          <w:tab w:val="num" w:pos="434"/>
        </w:tabs>
        <w:bidi/>
        <w:spacing w:before="120" w:after="0" w:line="216" w:lineRule="auto"/>
        <w:ind w:left="434" w:hanging="434"/>
        <w:jc w:val="lowKashida"/>
        <w:rPr>
          <w:rFonts w:ascii="Lotus Linotype" w:hAnsi="Lotus Linotype" w:cs="Lotus Linotype"/>
          <w:noProof/>
          <w:sz w:val="30"/>
          <w:szCs w:val="28"/>
          <w:rtl/>
          <w:lang w:bidi="ar-EG"/>
        </w:rPr>
      </w:pPr>
      <w:r w:rsidRPr="00BA409D">
        <w:rPr>
          <w:rFonts w:ascii="Lotus Linotype" w:hAnsi="Lotus Linotype" w:cs="Lotus Linotype"/>
          <w:b/>
          <w:bCs/>
          <w:noProof/>
          <w:sz w:val="30"/>
          <w:szCs w:val="28"/>
          <w:rtl/>
          <w:lang w:bidi="ar-EG"/>
        </w:rPr>
        <w:t xml:space="preserve">مجموع الفتاوى </w:t>
      </w:r>
      <w:r w:rsidRPr="00BA409D">
        <w:rPr>
          <w:rFonts w:ascii="Lotus Linotype" w:hAnsi="Lotus Linotype" w:cs="Lotus Linotype"/>
          <w:noProof/>
          <w:sz w:val="30"/>
          <w:szCs w:val="28"/>
          <w:rtl/>
          <w:lang w:bidi="ar-EG"/>
        </w:rPr>
        <w:t>[كتاب]</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المؤلف تقي الدين أبو العباس أحمد بن عبد الحليم بن تيمية الحراني.</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المدينة النبوية</w:t>
      </w:r>
      <w:r w:rsidRPr="004E2C57">
        <w:rPr>
          <w:rFonts w:ascii="Lotus Linotype" w:hAnsi="Lotus Linotype"/>
          <w:noProof/>
          <w:sz w:val="30"/>
          <w:szCs w:val="30"/>
          <w:rtl/>
          <w:lang w:bidi="ar-EG"/>
        </w:rPr>
        <w:t> </w:t>
      </w:r>
      <w:r w:rsidRPr="00BA409D">
        <w:rPr>
          <w:rFonts w:ascii="Lotus Linotype" w:hAnsi="Lotus Linotype" w:cs="Lotus Linotype"/>
          <w:noProof/>
          <w:sz w:val="30"/>
          <w:szCs w:val="28"/>
          <w:rtl/>
          <w:lang w:bidi="ar-EG"/>
        </w:rPr>
        <w:t>: مجمع الملك فهد لطباعة المصحف الشريف، 1416هـ - 1995م.</w:t>
      </w:r>
    </w:p>
    <w:p w:rsidR="00A41217" w:rsidRPr="00BA409D" w:rsidRDefault="00A41217" w:rsidP="00335934">
      <w:pPr>
        <w:widowControl w:val="0"/>
        <w:bidi/>
        <w:spacing w:before="120" w:after="0" w:line="216" w:lineRule="auto"/>
        <w:jc w:val="lowKashida"/>
        <w:rPr>
          <w:rFonts w:ascii="Lotus Linotype" w:hAnsi="Lotus Linotype" w:cs="Lotus Linotype"/>
          <w:sz w:val="30"/>
          <w:szCs w:val="28"/>
        </w:rPr>
      </w:pPr>
    </w:p>
    <w:sectPr w:rsidR="00A41217" w:rsidRPr="00BA409D" w:rsidSect="00373E92">
      <w:headerReference w:type="even" r:id="rId10"/>
      <w:headerReference w:type="default" r:id="rId11"/>
      <w:footerReference w:type="even" r:id="rId12"/>
      <w:footerReference w:type="default" r:id="rId13"/>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87B" w:rsidRDefault="000C187B" w:rsidP="00CE43BC">
      <w:pPr>
        <w:spacing w:after="0" w:line="240" w:lineRule="auto"/>
      </w:pPr>
      <w:r>
        <w:separator/>
      </w:r>
    </w:p>
  </w:endnote>
  <w:endnote w:type="continuationSeparator" w:id="0">
    <w:p w:rsidR="000C187B" w:rsidRDefault="000C187B"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CTraditional Arabic">
    <w:altName w:val="Times New Roman"/>
    <w:panose1 w:val="0000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135">
    <w:panose1 w:val="02000400000000000000"/>
    <w:charset w:val="00"/>
    <w:family w:val="auto"/>
    <w:pitch w:val="variable"/>
    <w:sig w:usb0="80002003" w:usb1="90000000" w:usb2="00000008" w:usb3="00000000" w:csb0="80000041" w:csb1="00000000"/>
  </w:font>
  <w:font w:name="QCF_P406">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494">
    <w:panose1 w:val="02000400000000000000"/>
    <w:charset w:val="00"/>
    <w:family w:val="auto"/>
    <w:pitch w:val="variable"/>
    <w:sig w:usb0="80002003" w:usb1="90000000" w:usb2="00000008" w:usb3="00000000" w:csb0="80000041" w:csb1="00000000"/>
  </w:font>
  <w:font w:name="Wingdings 2">
    <w:panose1 w:val="05020102010507070707"/>
    <w:charset w:val="02"/>
    <w:family w:val="roman"/>
    <w:pitch w:val="variable"/>
    <w:sig w:usb0="00000000" w:usb1="10000000" w:usb2="00000000" w:usb3="00000000" w:csb0="80000000" w:csb1="00000000"/>
  </w:font>
  <w:font w:name="QCF_P471">
    <w:panose1 w:val="02000400000000000000"/>
    <w:charset w:val="00"/>
    <w:family w:val="auto"/>
    <w:pitch w:val="variable"/>
    <w:sig w:usb0="80002003" w:usb1="90000000" w:usb2="00000008" w:usb3="00000000" w:csb0="80000041" w:csb1="00000000"/>
  </w:font>
  <w:font w:name="QCF_P549">
    <w:panose1 w:val="02000400000000000000"/>
    <w:charset w:val="00"/>
    <w:family w:val="auto"/>
    <w:pitch w:val="variable"/>
    <w:sig w:usb0="80002003" w:usb1="90000000" w:usb2="00000008" w:usb3="00000000" w:csb0="80000041" w:csb1="00000000"/>
  </w:font>
  <w:font w:name="QCF_P123">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038">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280">
    <w:panose1 w:val="02000400000000000000"/>
    <w:charset w:val="00"/>
    <w:family w:val="auto"/>
    <w:pitch w:val="variable"/>
    <w:sig w:usb0="80002003" w:usb1="90000000" w:usb2="00000008" w:usb3="00000000" w:csb0="80000041" w:csb1="00000000"/>
  </w:font>
  <w:font w:name="QCF_P372">
    <w:panose1 w:val="02000400000000000000"/>
    <w:charset w:val="00"/>
    <w:family w:val="auto"/>
    <w:pitch w:val="variable"/>
    <w:sig w:usb0="80002003" w:usb1="90000000" w:usb2="00000008" w:usb3="00000000" w:csb0="80000041" w:csb1="00000000"/>
  </w:font>
  <w:font w:name="QCF_P374">
    <w:panose1 w:val="02000400000000000000"/>
    <w:charset w:val="00"/>
    <w:family w:val="auto"/>
    <w:pitch w:val="variable"/>
    <w:sig w:usb0="80002003" w:usb1="90000000" w:usb2="00000008" w:usb3="00000000" w:csb0="80000041" w:csb1="00000000"/>
  </w:font>
  <w:font w:name="QCF_P29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Default="000C187B" w:rsidP="00A56D56">
    <w:pPr>
      <w:bidi/>
      <w:spacing w:after="0" w:line="240" w:lineRule="auto"/>
      <w:ind w:right="360" w:firstLine="360"/>
      <w:jc w:val="center"/>
      <w:rPr>
        <w:rtl/>
        <w:lang w:bidi="ar-EG"/>
      </w:rPr>
    </w:pPr>
    <w:r>
      <w:rPr>
        <w:noProof/>
        <w:rtl/>
      </w:rPr>
      <w:pict>
        <v:shapetype id="_x0000_t4" coordsize="21600,21600" o:spt="4" path="m10800,l,10800,10800,21600,21600,10800xe">
          <v:stroke joinstyle="miter"/>
          <v:path gradientshapeok="t" o:connecttype="rect" textboxrect="5400,5400,16200,16200"/>
        </v:shapetype>
        <v:shape id="_x0000_s2051" type="#_x0000_t4" style="position:absolute;left:0;text-align:left;margin-left:0;margin-top:6.9pt;width:498.9pt;height:2.85pt;z-index:4;mso-position-horizontal:center" fillcolor="black">
          <w10:wrap anchorx="page"/>
        </v:shape>
      </w:pict>
    </w:r>
  </w:p>
  <w:p w:rsidR="00A41217" w:rsidRPr="006E403D" w:rsidRDefault="00A41217" w:rsidP="006E403D">
    <w:pPr>
      <w:spacing w:after="0" w:line="240" w:lineRule="auto"/>
      <w:jc w:val="center"/>
      <w:rPr>
        <w:sz w:val="20"/>
        <w:szCs w:val="20"/>
        <w:rtl/>
      </w:rPr>
    </w:pPr>
    <w:r w:rsidRPr="006E403D">
      <w:rPr>
        <w:sz w:val="20"/>
        <w:szCs w:val="20"/>
      </w:rPr>
      <w:t xml:space="preserve">AMJA 13th Annual Imams' Conference | Contemporary </w:t>
    </w:r>
    <w:proofErr w:type="spellStart"/>
    <w:r w:rsidRPr="006E403D">
      <w:rPr>
        <w:sz w:val="20"/>
        <w:szCs w:val="20"/>
      </w:rPr>
      <w:t>Fiqh</w:t>
    </w:r>
    <w:proofErr w:type="spellEnd"/>
    <w:r w:rsidRPr="006E403D">
      <w:rPr>
        <w:sz w:val="20"/>
        <w:szCs w:val="20"/>
      </w:rPr>
      <w:t xml:space="preserve"> Matters of </w:t>
    </w:r>
    <w:proofErr w:type="spellStart"/>
    <w:r w:rsidRPr="006E403D">
      <w:rPr>
        <w:sz w:val="20"/>
        <w:szCs w:val="20"/>
      </w:rPr>
      <w:t>Da'wah</w:t>
    </w:r>
    <w:proofErr w:type="spellEnd"/>
    <w:r w:rsidRPr="006E403D">
      <w:rPr>
        <w:sz w:val="20"/>
        <w:szCs w:val="20"/>
      </w:rPr>
      <w:t xml:space="preserve"> in the West | March 18th-20th 2016</w:t>
    </w:r>
  </w:p>
  <w:p w:rsidR="00A41217" w:rsidRPr="008A462E" w:rsidRDefault="00A41217"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A41217" w:rsidRPr="008A462E" w:rsidRDefault="00A41217"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4F7AD7">
      <w:rPr>
        <w:rStyle w:val="PageNumber"/>
        <w:rFonts w:cs="الحوكمي عنوان2"/>
        <w:noProof/>
        <w:color w:val="333399"/>
        <w:sz w:val="28"/>
        <w:szCs w:val="28"/>
        <w:rtl/>
      </w:rPr>
      <w:t>30</w:t>
    </w:r>
    <w:r w:rsidRPr="008A462E">
      <w:rPr>
        <w:rStyle w:val="PageNumber"/>
        <w:rFonts w:cs="الحوكمي عنوان2"/>
        <w:color w:val="333399"/>
        <w:sz w:val="28"/>
        <w:szCs w:val="28"/>
      </w:rPr>
      <w:fldChar w:fldCharType="end"/>
    </w:r>
  </w:p>
  <w:p w:rsidR="00A41217" w:rsidRPr="00A56D56" w:rsidRDefault="000C187B" w:rsidP="00A56D56">
    <w:pPr>
      <w:bidi/>
      <w:spacing w:after="0" w:line="240" w:lineRule="auto"/>
      <w:jc w:val="center"/>
      <w:rPr>
        <w:rFonts w:ascii="Arial" w:hAnsi="Arial"/>
        <w:color w:val="222222"/>
        <w:sz w:val="35"/>
        <w:szCs w:val="35"/>
        <w:lang w:bidi="ar-EG"/>
      </w:rPr>
    </w:pPr>
    <w:r>
      <w:rPr>
        <w:noProof/>
      </w:rPr>
      <w:pict>
        <v:rect id="_x0000_s2052" style="position:absolute;left:0;text-align:left;margin-left:477.75pt;margin-top:12.2pt;width:45pt;height:27pt;z-index:-2" strokecolor="#339" strokeweight="2.25pt">
          <v:shadow on="t" color="#339" offset="-2pt,-2pt" offset2="8pt,8pt"/>
          <w10:wrap anchorx="page"/>
        </v:rect>
      </w:pict>
    </w:r>
    <w:r w:rsidR="00A41217" w:rsidRPr="00014108">
      <w:rPr>
        <w:rtl/>
      </w:rPr>
      <w:t>"</w:t>
    </w:r>
    <w:proofErr w:type="spellStart"/>
    <w:r w:rsidR="00A41217" w:rsidRPr="00014108">
      <w:t>Fiqh</w:t>
    </w:r>
    <w:proofErr w:type="spellEnd"/>
    <w:r w:rsidR="00A41217" w:rsidRPr="00014108">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Default="000C187B" w:rsidP="008A462E">
    <w:pPr>
      <w:bidi/>
      <w:spacing w:after="0" w:line="240" w:lineRule="auto"/>
      <w:ind w:right="360" w:firstLine="360"/>
      <w:jc w:val="center"/>
      <w:rPr>
        <w:rtl/>
        <w:lang w:bidi="ar-EG"/>
      </w:rPr>
    </w:pPr>
    <w:r>
      <w:rPr>
        <w:noProof/>
        <w:rtl/>
      </w:rPr>
      <w:pict>
        <v:shapetype id="_x0000_t4" coordsize="21600,21600" o:spt="4" path="m10800,l,10800,10800,21600,21600,10800xe">
          <v:stroke joinstyle="miter"/>
          <v:path gradientshapeok="t" o:connecttype="rect" textboxrect="5400,5400,16200,16200"/>
        </v:shapetype>
        <v:shape id="_x0000_s2053" type="#_x0000_t4" style="position:absolute;left:0;text-align:left;margin-left:0;margin-top:6.9pt;width:498.9pt;height:2.85pt;z-index:2;mso-position-horizontal:center" fillcolor="black">
          <w10:wrap anchorx="page"/>
        </v:shape>
      </w:pict>
    </w:r>
  </w:p>
  <w:p w:rsidR="00A41217" w:rsidRPr="006E403D" w:rsidRDefault="00A41217"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 xml:space="preserve">Conference | Contemporary </w:t>
    </w:r>
    <w:proofErr w:type="spellStart"/>
    <w:r w:rsidRPr="006E403D">
      <w:rPr>
        <w:sz w:val="20"/>
        <w:szCs w:val="20"/>
      </w:rPr>
      <w:t>Fiqh</w:t>
    </w:r>
    <w:proofErr w:type="spellEnd"/>
    <w:r w:rsidRPr="006E403D">
      <w:rPr>
        <w:sz w:val="20"/>
        <w:szCs w:val="20"/>
      </w:rPr>
      <w:t xml:space="preserve"> Matters of </w:t>
    </w:r>
    <w:proofErr w:type="spellStart"/>
    <w:r w:rsidRPr="006E403D">
      <w:rPr>
        <w:sz w:val="20"/>
        <w:szCs w:val="20"/>
      </w:rPr>
      <w:t>Da'wah</w:t>
    </w:r>
    <w:proofErr w:type="spellEnd"/>
    <w:r w:rsidRPr="006E403D">
      <w:rPr>
        <w:sz w:val="20"/>
        <w:szCs w:val="20"/>
      </w:rPr>
      <w:t xml:space="preserve"> in the West | March 18th-20th 2016</w:t>
    </w:r>
  </w:p>
  <w:p w:rsidR="00A41217" w:rsidRPr="008A462E" w:rsidRDefault="00A41217"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A41217" w:rsidRPr="008A462E" w:rsidRDefault="00A41217"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4F7AD7">
      <w:rPr>
        <w:rStyle w:val="PageNumber"/>
        <w:rFonts w:cs="الحوكمي عنوان2"/>
        <w:noProof/>
        <w:color w:val="333399"/>
        <w:sz w:val="28"/>
        <w:szCs w:val="28"/>
        <w:rtl/>
      </w:rPr>
      <w:t>29</w:t>
    </w:r>
    <w:r w:rsidRPr="008A462E">
      <w:rPr>
        <w:rStyle w:val="PageNumber"/>
        <w:rFonts w:cs="الحوكمي عنوان2"/>
        <w:color w:val="333399"/>
        <w:sz w:val="28"/>
        <w:szCs w:val="28"/>
      </w:rPr>
      <w:fldChar w:fldCharType="end"/>
    </w:r>
  </w:p>
  <w:p w:rsidR="00A41217" w:rsidRPr="008A462E" w:rsidRDefault="000C187B" w:rsidP="008A462E">
    <w:pPr>
      <w:bidi/>
      <w:spacing w:after="0" w:line="240" w:lineRule="auto"/>
      <w:jc w:val="center"/>
      <w:rPr>
        <w:rFonts w:ascii="Arial" w:hAnsi="Arial"/>
        <w:color w:val="222222"/>
        <w:sz w:val="35"/>
        <w:szCs w:val="35"/>
        <w:rtl/>
        <w:lang w:bidi="ar-EG"/>
      </w:rPr>
    </w:pPr>
    <w:r>
      <w:rPr>
        <w:noProof/>
        <w:rtl/>
      </w:rPr>
      <w:pict>
        <v:rect id="_x0000_s2054" style="position:absolute;left:0;text-align:left;margin-left:-27pt;margin-top:12.2pt;width:45pt;height:27pt;z-index:-4" strokecolor="#339" strokeweight="2.25pt">
          <v:shadow on="t" color="#339" offset="-2pt,-2pt" offset2="8pt,8pt"/>
          <w10:wrap anchorx="page"/>
        </v:rect>
      </w:pict>
    </w:r>
    <w:r w:rsidR="00A41217" w:rsidRPr="00014108">
      <w:rPr>
        <w:rtl/>
      </w:rPr>
      <w:t>"</w:t>
    </w:r>
    <w:proofErr w:type="spellStart"/>
    <w:r w:rsidR="00A41217" w:rsidRPr="00014108">
      <w:t>Fiqh</w:t>
    </w:r>
    <w:proofErr w:type="spellEnd"/>
    <w:r w:rsidR="00A41217" w:rsidRPr="00014108">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87B" w:rsidRDefault="000C187B" w:rsidP="00202EF0">
      <w:pPr>
        <w:bidi/>
        <w:spacing w:after="0" w:line="240" w:lineRule="auto"/>
      </w:pPr>
      <w:r>
        <w:separator/>
      </w:r>
    </w:p>
  </w:footnote>
  <w:footnote w:type="continuationSeparator" w:id="0">
    <w:p w:rsidR="000C187B" w:rsidRDefault="000C187B" w:rsidP="00CE43BC">
      <w:pPr>
        <w:spacing w:after="0" w:line="240" w:lineRule="auto"/>
      </w:pPr>
      <w:r>
        <w:continuationSeparator/>
      </w:r>
    </w:p>
  </w:footnote>
  <w:footnote w:id="1">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فتح المغيث للسخاوي (1/371)</w:t>
      </w:r>
    </w:p>
  </w:footnote>
  <w:footnote w:id="2">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حديث منقطع. موطأ مالك (5/1434)</w:t>
      </w:r>
    </w:p>
  </w:footnote>
  <w:footnote w:id="3">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أدب الدنيا والدين (ص: 284)</w:t>
      </w:r>
    </w:p>
  </w:footnote>
  <w:footnote w:id="4">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xml:space="preserve">) اكتفيت بالعزو إلى كتب الحديث دون ذكر رقم المجلد والصفحة أو الكتاب، وذلك لسهولة الكشف عن الأحاديث في زماننا هذا. ولم تذكر كتب الحديث في المراجع للسبب نفسه.  </w:t>
      </w:r>
    </w:p>
  </w:footnote>
  <w:footnote w:id="5">
    <w:p w:rsidR="00A41217" w:rsidRPr="00FA4C03" w:rsidRDefault="00A41217" w:rsidP="00FB5C24">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xml:space="preserve">) أذكر هنا للفائدة بعض ما قال عنها الدكتور أكرم ضياء العمري في كتاب السيرة النبوية الصحيحة (1/276-275) فليراجع بتمامه هناك، فإنه مفيد:" ... وإذا كانت الوثيقة بمجموعها لا تصلح للاحتجاج بها في أحكام الشريعة - سوى ما ورد منها في كتب الحديث الصحيحة - فإنها تصلح أساساً للدراسة التاريخية التي لا تتطلب درجة الصحة التي تقتضيها الأحكام الشرعية، خاصة أن الوثيقة وردت من طرق عديدة تتضافر في إكسابها القوة ... كذلك فإن أسلوب الوثيقة ينم عن أصالتها "فنصوصها مكونة من جمل قصيرة بسيطة وغير معقدة التركيب، ويكثر فيها التكرار، وتستعمل كلمات وتعابير كانت مألوفة في عصر الرسولﷺ ثم قل استعمالها فيما بعد ..." ثم إن التشابه الكبير بين أسلوب الوثيقة وأساليب كتب النبيﷺ الأخرى يعطيها توثيقاً آخر."  </w:t>
      </w:r>
    </w:p>
  </w:footnote>
  <w:footnote w:id="6">
    <w:p w:rsidR="00A41217" w:rsidRPr="00FA4C03" w:rsidRDefault="00A41217" w:rsidP="00394A4E">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في</w:t>
      </w:r>
      <w:r w:rsidRPr="00FA4C03">
        <w:rPr>
          <w:rFonts w:ascii="Lotus Linotype" w:hAnsi="Lotus Linotype" w:cs="Lotus Linotype"/>
          <w:sz w:val="20"/>
          <w:szCs w:val="20"/>
        </w:rPr>
        <w:t xml:space="preserve"> </w:t>
      </w:r>
      <w:r w:rsidRPr="00FA4C03">
        <w:rPr>
          <w:rFonts w:ascii="Lotus Linotype" w:hAnsi="Lotus Linotype" w:cs="Lotus Linotype"/>
          <w:sz w:val="20"/>
          <w:szCs w:val="20"/>
          <w:rtl/>
        </w:rPr>
        <w:t>المبسوط للسرخسي (10/89): " ولا يمنع التجار من دخول دار الحرب بالتجارات ما خلا الكراع، والسلاح، فإنهم يتقوون بذلك على قتال المسلمين فيمنعون من حمله إليهم، وكذلك الحديد، فإنه أصل السلاح ..."</w:t>
      </w:r>
    </w:p>
  </w:footnote>
  <w:footnote w:id="7">
    <w:p w:rsidR="00A41217" w:rsidRPr="00FA4C03" w:rsidRDefault="00A41217" w:rsidP="00394A4E">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العلاقات الدولية في الإسلام لأبي زهرة (ص: 45) دار الفكر العربي</w:t>
      </w:r>
    </w:p>
  </w:footnote>
  <w:footnote w:id="8">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الموافقات (5/ 177)</w:t>
      </w:r>
    </w:p>
  </w:footnote>
  <w:footnote w:id="9">
    <w:p w:rsidR="00A41217" w:rsidRPr="00FA4C03" w:rsidRDefault="00A41217" w:rsidP="00FD0A69">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متفق عليه.</w:t>
      </w:r>
    </w:p>
  </w:footnote>
  <w:footnote w:id="10">
    <w:p w:rsidR="00A41217" w:rsidRPr="00FA4C03" w:rsidRDefault="00A41217" w:rsidP="00FD0A69">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متفق عليه.</w:t>
      </w:r>
    </w:p>
  </w:footnote>
  <w:footnote w:id="11">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رواه أبو داود وحسنه الألباني.</w:t>
      </w:r>
    </w:p>
  </w:footnote>
  <w:footnote w:id="12">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رواه أبو داود وحسنه الألباني.</w:t>
      </w:r>
    </w:p>
  </w:footnote>
  <w:footnote w:id="13">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مجموع الفتاوى (28/ 216)</w:t>
      </w:r>
    </w:p>
  </w:footnote>
  <w:footnote w:id="14">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أخرجه الآجري في الشريعة (1/ 452)، وابن بطة في الإبانة الكبرى (2/ 438)</w:t>
      </w:r>
    </w:p>
  </w:footnote>
  <w:footnote w:id="15">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أخرجه الدارمي في سننه (1/ 120)</w:t>
      </w:r>
    </w:p>
  </w:footnote>
  <w:footnote w:id="16">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أخرجه اللالكائي في شرح أصول اعتقاد أهل السنة (1/ 133)</w:t>
      </w:r>
    </w:p>
  </w:footnote>
  <w:footnote w:id="17">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الاعتصام (1/ 300)</w:t>
      </w:r>
    </w:p>
  </w:footnote>
  <w:footnote w:id="18">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المغني لابن قدامة (7/ 279)</w:t>
      </w:r>
    </w:p>
  </w:footnote>
  <w:footnote w:id="19">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مجموع الفتاوى (20/ 56). وانظر: بحث مشاركة المسلم الأمريكي في الحياة السياسية الأمريكية. مجلة الشريعة والدراسات الإسلامية، مجلس النشر العلمي، جامعة الكويت (ص: 343).</w:t>
      </w:r>
    </w:p>
  </w:footnote>
  <w:footnote w:id="20">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التاج والإكليل لمختصر خليل (5/ 133)</w:t>
      </w:r>
    </w:p>
  </w:footnote>
  <w:footnote w:id="21">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أحكام أهل الملل والردة من الجامع لمسائل الإمام أحمد بن حنبل (ص: 354)</w:t>
      </w:r>
    </w:p>
  </w:footnote>
  <w:footnote w:id="22">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أحكام أهل الذمة (2/ 822)</w:t>
      </w:r>
    </w:p>
  </w:footnote>
  <w:footnote w:id="23">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مجموع الفتاوى (28/ 129)</w:t>
      </w:r>
    </w:p>
  </w:footnote>
  <w:footnote w:id="24">
    <w:p w:rsidR="00A41217" w:rsidRPr="00FA4C03" w:rsidRDefault="00A41217" w:rsidP="00E43B86">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قال ابن رجب :: "إن الإنكار بالقلب فرض على كل مسلم في كل حال، وأما الإنكار باليد واللسان فبحسب القدرة" جامع العلوم والحكم (2/ 246)</w:t>
      </w:r>
    </w:p>
  </w:footnote>
  <w:footnote w:id="25">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رواه أحمد وأبو داود والنسائي، وصححه الألباني في صحيح الجامع</w:t>
      </w:r>
    </w:p>
  </w:footnote>
  <w:footnote w:id="26">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صحيح الأدب المفرد (ص: 430)</w:t>
      </w:r>
    </w:p>
  </w:footnote>
  <w:footnote w:id="27">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فتح الباري لابن حجر (11/ 41)</w:t>
      </w:r>
    </w:p>
  </w:footnote>
  <w:footnote w:id="28">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رواه الترمذي وقال حسن غريب.</w:t>
      </w:r>
    </w:p>
  </w:footnote>
  <w:footnote w:id="29">
    <w:p w:rsidR="00A41217" w:rsidRPr="00FA4C03" w:rsidRDefault="00A41217" w:rsidP="00AF56B1">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xml:space="preserve">) عن ابن مسعود </w:t>
      </w:r>
      <w:r w:rsidRPr="00FA4C03">
        <w:rPr>
          <w:rFonts w:ascii="Lotus Linotype" w:hAnsi="Lotus Linotype" w:cs="Lotus Linotype"/>
          <w:sz w:val="20"/>
          <w:szCs w:val="20"/>
        </w:rPr>
        <w:sym w:font="AGA Arabesque" w:char="F074"/>
      </w:r>
      <w:r w:rsidRPr="00FA4C03">
        <w:rPr>
          <w:rFonts w:ascii="Lotus Linotype" w:hAnsi="Lotus Linotype" w:cs="Lotus Linotype"/>
          <w:sz w:val="20"/>
          <w:szCs w:val="20"/>
          <w:rtl/>
        </w:rPr>
        <w:t xml:space="preserve"> قال رَسُول اللَّهِﷺ: "إن أول ما دخل النقص على بني إسرائيل أنه كان الرجل يلقى الرجل فيقول: يا هذا اتق اللَّه ودع ما تصنع فإنه لا يحل لك، ثم يلقاه من الغد وهو على حاله فلا يمنعه ذلك أن يكون أكيله وشريبه وقعيده. فلما فعلوا ذلك ضرب اللَّه قلوب بعضهم ببعض" أخرجه أبو داود والترمذي وابن ماجه وأحمد في المسند، وفي سنده مقال</w:t>
      </w:r>
    </w:p>
  </w:footnote>
  <w:footnote w:id="30">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انظر: المبسوط للسرخسي (10/154)؛ بلغة السالك (4/760)؛ تحفة المحتاج في شرح المنهاج وحواشي الشرواني والعبادي (7/198)؛ الفروع (5 /113).</w:t>
      </w:r>
    </w:p>
  </w:footnote>
  <w:footnote w:id="31">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xml:space="preserve">) البناية شرح الهداية (12/ 132)، وفيه: "فصار في المسألة روايتان، في رواية: أباح المصافحة إذا لم يشته أحدهما، وفي رواية: يشترط أن يكون كل واحد منهما لا يشتهي." وفيه: "وهذا إذا كانت شابة تشتهى" ولعل الماتن أراد أن يضيف بكلمة "تشتهى" قيدًا آخر للتحريم، أو ذكرها كوصف لكل شابة، ولم أجد في كلام الشارح أو غيره من الأحناف ما يدل على أحد الاحتمالين، وإن كان بعض المعاصرين ينسب هذا القيد إليهم. </w:t>
      </w:r>
    </w:p>
  </w:footnote>
  <w:footnote w:id="32">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w:t>
      </w:r>
      <w:r w:rsidRPr="00FA4C03">
        <w:rPr>
          <w:rFonts w:ascii="Lotus Linotype" w:hAnsi="Lotus Linotype" w:cs="Lotus Linotype"/>
          <w:sz w:val="20"/>
          <w:szCs w:val="20"/>
        </w:rPr>
        <w:t xml:space="preserve"> </w:t>
      </w:r>
      <w:r w:rsidRPr="00FA4C03">
        <w:rPr>
          <w:rFonts w:ascii="Lotus Linotype" w:hAnsi="Lotus Linotype" w:cs="Lotus Linotype"/>
          <w:sz w:val="20"/>
          <w:szCs w:val="20"/>
          <w:rtl/>
        </w:rPr>
        <w:t>في تحفة المحتاج في شرح المنهاج وحواشي الشرواني والعبادي (7/198): "ويجوز للرجل دلك فخذ الرجل بشرط حائل وأمن فتنة وأخذ منه حل مصافحة الأجنبية مع ذينك."</w:t>
      </w:r>
    </w:p>
  </w:footnote>
  <w:footnote w:id="33">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في كشاف القناع عن متن الإقناع (2/ 155): "(ولا تجوز مصافحة المرأة الأجنبية الشابة) لأنها شر من النظر، أما العجوز فللرجل مصافحتها على ما ذكره في الفصول والرعاية وأطلق في رواية ابن منصور: تكره مصافحة النساء قال محمد بن عبد الله بن مهران: سئل أبو عبد الله عن الرجل يصافح المرأة قال: لا، وشدد فيه جدا قلت: فيصافحها بثوبه قال: لا قال رجل: فإن كان ذا رحم قال: لا قلت: ابنته قال: إذا كانت ابنته فلا بأس والتحريم مطلقا اختيار الشيخ تقي الدين ويتوجه التفصيل بين المحرم وغيره، فأما الوالد فيجوز قاله في الآداب."</w:t>
      </w:r>
    </w:p>
  </w:footnote>
  <w:footnote w:id="34">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w:t>
      </w:r>
      <w:r w:rsidRPr="00FA4C03">
        <w:rPr>
          <w:rFonts w:ascii="Lotus Linotype" w:hAnsi="Lotus Linotype" w:cs="Lotus Linotype"/>
          <w:sz w:val="20"/>
          <w:szCs w:val="20"/>
        </w:rPr>
        <w:t xml:space="preserve"> </w:t>
      </w:r>
      <w:r w:rsidRPr="00FA4C03">
        <w:rPr>
          <w:rFonts w:ascii="Lotus Linotype" w:hAnsi="Lotus Linotype" w:cs="Lotus Linotype"/>
          <w:sz w:val="20"/>
          <w:szCs w:val="20"/>
          <w:rtl/>
        </w:rPr>
        <w:t>أخرجه الإمامان مالك في الموطأ وأحمد في المسند وغيرهما عن أميمة بنت رُقَيقة.</w:t>
      </w:r>
    </w:p>
  </w:footnote>
  <w:footnote w:id="35">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المعجم الكبير للطبراني (20/ 212). وقال الهيثمي مجمع الزوائد (4/329): رواه الطبراني، ورجاله رجال الصحيح.</w:t>
      </w:r>
    </w:p>
  </w:footnote>
  <w:footnote w:id="36">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في مجموع الفتاوى (22/1109) قال ابن تيمية :: "وعلى هذين القولين تنازع الفقهاء في النظر إلى المرأة الأجنبية فقيل: يجوز النظر لغير شهوة إلى وجهها ويديها، وهو مذهب أبي حنيفة والشافعي وقول في مذهب أحمد، وقيل: لا يجوز، وهو ظاهر مذهب أحمد، فإن كل شيء منها عورة حتى ظفرها، وهو قول مالك."</w:t>
      </w:r>
    </w:p>
  </w:footnote>
  <w:footnote w:id="37">
    <w:p w:rsidR="00A41217" w:rsidRPr="00FA4C03" w:rsidRDefault="00A41217" w:rsidP="00F81008">
      <w:pPr>
        <w:pStyle w:val="NoSpacing"/>
        <w:bidi w:val="0"/>
        <w:spacing w:line="204" w:lineRule="auto"/>
        <w:rPr>
          <w:sz w:val="20"/>
          <w:szCs w:val="20"/>
        </w:rPr>
      </w:pPr>
      <w:proofErr w:type="gramStart"/>
      <w:r w:rsidRPr="00FA4C03">
        <w:rPr>
          <w:rFonts w:ascii="Verdana" w:hAnsi="Verdana" w:cs="Lotus Linotype"/>
          <w:sz w:val="20"/>
          <w:szCs w:val="20"/>
        </w:rPr>
        <w:t>P</w:t>
      </w:r>
      <w:r w:rsidRPr="00FA4C03">
        <w:rPr>
          <w:rFonts w:ascii="Verdana" w:hAnsi="Verdana" w:cs="Lotus Linotype"/>
          <w:sz w:val="20"/>
          <w:szCs w:val="20"/>
        </w:rPr>
        <w:footnoteRef/>
      </w:r>
      <w:r w:rsidRPr="00FA4C03">
        <w:rPr>
          <w:rFonts w:ascii="Verdana" w:hAnsi="Verdana" w:cs="Lotus Linotype"/>
          <w:sz w:val="20"/>
          <w:szCs w:val="20"/>
        </w:rPr>
        <w:t xml:space="preserve"> </w:t>
      </w:r>
      <w:r w:rsidRPr="00FA4C03">
        <w:rPr>
          <w:rFonts w:ascii="Verdana" w:hAnsi="Verdana" w:cs="Lotus Linotype"/>
          <w:sz w:val="20"/>
          <w:szCs w:val="20"/>
          <w:rtl/>
        </w:rPr>
        <w:t xml:space="preserve"> </w:t>
      </w:r>
      <w:r w:rsidRPr="00FA4C03">
        <w:rPr>
          <w:rFonts w:ascii="Verdana" w:hAnsi="Verdana" w:cs="Lotus Linotype"/>
          <w:sz w:val="20"/>
          <w:szCs w:val="20"/>
        </w:rPr>
        <w:t>May I Shake the Lady's Hand?</w:t>
      </w:r>
      <w:proofErr w:type="gramEnd"/>
      <w:r w:rsidRPr="00FA4C03">
        <w:rPr>
          <w:rFonts w:ascii="Verdana" w:hAnsi="Verdana" w:cs="Lotus Linotype"/>
          <w:sz w:val="20"/>
          <w:szCs w:val="20"/>
        </w:rPr>
        <w:t xml:space="preserve"> </w:t>
      </w:r>
      <w:proofErr w:type="gramStart"/>
      <w:r w:rsidRPr="00FA4C03">
        <w:rPr>
          <w:rFonts w:ascii="Verdana" w:hAnsi="Verdana" w:cs="Lotus Linotype"/>
          <w:sz w:val="20"/>
          <w:szCs w:val="20"/>
        </w:rPr>
        <w:t>(</w:t>
      </w:r>
      <w:proofErr w:type="spellStart"/>
      <w:r w:rsidRPr="00FA4C03">
        <w:rPr>
          <w:rFonts w:ascii="Verdana" w:hAnsi="Verdana" w:cs="Lotus Linotype"/>
          <w:sz w:val="20"/>
          <w:szCs w:val="20"/>
        </w:rPr>
        <w:t>n.d.</w:t>
      </w:r>
      <w:proofErr w:type="spellEnd"/>
      <w:r w:rsidRPr="00FA4C03">
        <w:rPr>
          <w:rFonts w:ascii="Verdana" w:hAnsi="Verdana" w:cs="Lotus Linotype"/>
          <w:sz w:val="20"/>
          <w:szCs w:val="20"/>
        </w:rPr>
        <w:t>).</w:t>
      </w:r>
      <w:proofErr w:type="gramEnd"/>
      <w:r w:rsidRPr="00FA4C03">
        <w:rPr>
          <w:rFonts w:ascii="Verdana" w:hAnsi="Verdana" w:cs="Lotus Linotype"/>
          <w:sz w:val="20"/>
          <w:szCs w:val="20"/>
        </w:rPr>
        <w:t xml:space="preserve"> Retrieved February 06, 2016, from http://www.chabad.org/library/article_cdo/aid/1051760/jewish/May-I-Shake-the-Ladys-Hand.htm</w:t>
      </w:r>
    </w:p>
  </w:footnote>
  <w:footnote w:id="38">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w:t>
      </w:r>
      <w:r w:rsidRPr="00FA4C03">
        <w:rPr>
          <w:rFonts w:ascii="Lotus Linotype" w:hAnsi="Lotus Linotype" w:cs="Lotus Linotype"/>
          <w:sz w:val="20"/>
          <w:szCs w:val="20"/>
        </w:rPr>
        <w:t xml:space="preserve"> </w:t>
      </w:r>
      <w:r w:rsidRPr="00FA4C03">
        <w:rPr>
          <w:rFonts w:ascii="Lotus Linotype" w:hAnsi="Lotus Linotype" w:cs="Lotus Linotype"/>
          <w:sz w:val="20"/>
          <w:szCs w:val="20"/>
          <w:rtl/>
        </w:rPr>
        <w:t>صححها الألباني.</w:t>
      </w:r>
    </w:p>
  </w:footnote>
  <w:footnote w:id="39">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w:t>
      </w:r>
      <w:r w:rsidRPr="00FA4C03">
        <w:rPr>
          <w:rFonts w:ascii="Lotus Linotype" w:hAnsi="Lotus Linotype" w:cs="Lotus Linotype"/>
          <w:sz w:val="20"/>
          <w:szCs w:val="20"/>
        </w:rPr>
        <w:t xml:space="preserve"> </w:t>
      </w:r>
      <w:r w:rsidRPr="00FA4C03">
        <w:rPr>
          <w:rFonts w:ascii="Lotus Linotype" w:hAnsi="Lotus Linotype" w:cs="Lotus Linotype"/>
          <w:sz w:val="20"/>
          <w:szCs w:val="20"/>
          <w:rtl/>
        </w:rPr>
        <w:t>فتح الباري لابن حجر (8/ 636)</w:t>
      </w:r>
    </w:p>
  </w:footnote>
  <w:footnote w:id="40">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فتاوى معاصرة (2/301-302)</w:t>
      </w:r>
    </w:p>
  </w:footnote>
  <w:footnote w:id="41">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فتح الباري لابن حجر (8/ 636)</w:t>
      </w:r>
    </w:p>
  </w:footnote>
  <w:footnote w:id="42">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اقتضاء الصراط المستقيم (176- 177)</w:t>
      </w:r>
    </w:p>
  </w:footnote>
  <w:footnote w:id="43">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w:t>
      </w:r>
      <w:r w:rsidRPr="00FA4C03">
        <w:rPr>
          <w:rFonts w:ascii="Lotus Linotype" w:hAnsi="Lotus Linotype" w:cs="Lotus Linotype"/>
          <w:sz w:val="20"/>
          <w:szCs w:val="20"/>
        </w:rPr>
        <w:t xml:space="preserve"> </w:t>
      </w:r>
      <w:r w:rsidRPr="00FA4C03">
        <w:rPr>
          <w:rFonts w:ascii="Lotus Linotype" w:hAnsi="Lotus Linotype" w:cs="Lotus Linotype"/>
          <w:sz w:val="20"/>
          <w:szCs w:val="20"/>
          <w:rtl/>
        </w:rPr>
        <w:t>المعجم الكبير للطبراني (20/ 212)</w:t>
      </w:r>
    </w:p>
  </w:footnote>
  <w:footnote w:id="44">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فتاوى معاصرة (2/301-302)</w:t>
      </w:r>
    </w:p>
  </w:footnote>
  <w:footnote w:id="45">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قواعد الأحكام في مصالح الأنام (1/ 5)</w:t>
      </w:r>
    </w:p>
  </w:footnote>
  <w:footnote w:id="46">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اقتضاء الصراط المستقيم لمخالفة أصحاب الجحيم (2/ 126)</w:t>
      </w:r>
    </w:p>
  </w:footnote>
  <w:footnote w:id="47">
    <w:p w:rsidR="00A41217" w:rsidRPr="00FA4C03" w:rsidRDefault="00A41217" w:rsidP="00F81008">
      <w:pPr>
        <w:pStyle w:val="NoSpacing"/>
        <w:bidi w:val="0"/>
        <w:spacing w:line="204" w:lineRule="auto"/>
        <w:ind w:left="312" w:hanging="312"/>
        <w:jc w:val="lowKashida"/>
        <w:rPr>
          <w:sz w:val="20"/>
          <w:szCs w:val="20"/>
        </w:rPr>
      </w:pPr>
      <w:r w:rsidRPr="00FA4C03">
        <w:rPr>
          <w:rFonts w:ascii="Verdana" w:hAnsi="Verdana" w:cs="Lotus Linotype"/>
          <w:sz w:val="20"/>
          <w:szCs w:val="20"/>
        </w:rPr>
        <w:t>(</w:t>
      </w:r>
      <w:r w:rsidRPr="00FA4C03">
        <w:rPr>
          <w:rFonts w:ascii="Verdana" w:hAnsi="Verdana" w:cs="Lotus Linotype"/>
          <w:sz w:val="20"/>
          <w:szCs w:val="20"/>
        </w:rPr>
        <w:footnoteRef/>
      </w:r>
      <w:r w:rsidRPr="00FA4C03">
        <w:rPr>
          <w:rFonts w:ascii="Verdana" w:hAnsi="Verdana" w:cs="Lotus Linotype"/>
          <w:sz w:val="20"/>
          <w:szCs w:val="20"/>
        </w:rPr>
        <w:t xml:space="preserve">) Antony Flew with Roy Abraham Varghese 2007. There is a God: How the world's most </w:t>
      </w:r>
      <w:proofErr w:type="spellStart"/>
      <w:r w:rsidRPr="00FA4C03">
        <w:rPr>
          <w:rFonts w:ascii="Verdana" w:hAnsi="Verdana" w:cs="Lotus Linotype"/>
          <w:sz w:val="20"/>
          <w:szCs w:val="20"/>
        </w:rPr>
        <w:t>nototious</w:t>
      </w:r>
      <w:proofErr w:type="spellEnd"/>
      <w:r w:rsidRPr="00FA4C03">
        <w:rPr>
          <w:rFonts w:ascii="Verdana" w:hAnsi="Verdana" w:cs="Lotus Linotype"/>
          <w:sz w:val="20"/>
          <w:szCs w:val="20"/>
        </w:rPr>
        <w:t xml:space="preserve"> atheist changed his mind. New York: </w:t>
      </w:r>
      <w:proofErr w:type="spellStart"/>
      <w:r w:rsidRPr="00FA4C03">
        <w:rPr>
          <w:rFonts w:ascii="Verdana" w:hAnsi="Verdana" w:cs="Lotus Linotype"/>
          <w:sz w:val="20"/>
          <w:szCs w:val="20"/>
        </w:rPr>
        <w:t>HarperOne</w:t>
      </w:r>
      <w:proofErr w:type="spellEnd"/>
    </w:p>
  </w:footnote>
  <w:footnote w:id="48">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حاشية السيوطي على سنن النسائي (6/ 157)</w:t>
      </w:r>
    </w:p>
  </w:footnote>
  <w:footnote w:id="49">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متفق عليه من حديث أبي هريرة.</w:t>
      </w:r>
    </w:p>
  </w:footnote>
  <w:footnote w:id="50">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متفق عليه من حديث عائشة وأم سلمة.</w:t>
      </w:r>
    </w:p>
  </w:footnote>
  <w:footnote w:id="51">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أخرجه أحمد في مسنده والطبراني في الكبير، عن عبد الله بن حنظلة، وصححه الألباني.</w:t>
      </w:r>
    </w:p>
  </w:footnote>
  <w:footnote w:id="52">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رواه ابن حبان عن أنس وصححه الألباني</w:t>
      </w:r>
    </w:p>
  </w:footnote>
  <w:footnote w:id="53">
    <w:p w:rsidR="00A41217" w:rsidRPr="00FA4C03" w:rsidRDefault="00A41217" w:rsidP="00F81008">
      <w:pPr>
        <w:pStyle w:val="NoSpacing"/>
        <w:spacing w:line="204" w:lineRule="auto"/>
        <w:ind w:left="312" w:hanging="312"/>
        <w:jc w:val="lowKashida"/>
        <w:rPr>
          <w:sz w:val="20"/>
          <w:szCs w:val="20"/>
        </w:rPr>
      </w:pPr>
      <w:r w:rsidRPr="00FA4C03">
        <w:rPr>
          <w:rFonts w:ascii="Lotus Linotype" w:hAnsi="Lotus Linotype" w:cs="Lotus Linotype"/>
          <w:sz w:val="20"/>
          <w:szCs w:val="20"/>
          <w:rtl/>
        </w:rPr>
        <w:t>(</w:t>
      </w:r>
      <w:r w:rsidRPr="00FA4C03">
        <w:rPr>
          <w:rFonts w:ascii="Lotus Linotype" w:hAnsi="Lotus Linotype" w:cs="Lotus Linotype"/>
          <w:sz w:val="20"/>
          <w:szCs w:val="20"/>
          <w:rtl/>
        </w:rPr>
        <w:footnoteRef/>
      </w:r>
      <w:r w:rsidRPr="00FA4C03">
        <w:rPr>
          <w:rFonts w:ascii="Lotus Linotype" w:hAnsi="Lotus Linotype" w:cs="Lotus Linotype"/>
          <w:sz w:val="20"/>
          <w:szCs w:val="20"/>
          <w:rtl/>
        </w:rPr>
        <w:t>) متفق عليه.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Pr="008A462E" w:rsidRDefault="000C187B" w:rsidP="00373E92">
    <w:pPr>
      <w:bidi/>
      <w:spacing w:after="0" w:line="240" w:lineRule="auto"/>
      <w:rPr>
        <w:rFonts w:cs="الحوكمي عنوان2"/>
        <w:lang w:bidi="ar-SY"/>
      </w:rPr>
    </w:pPr>
    <w:r>
      <w:rPr>
        <w:noProof/>
      </w:rPr>
      <w:pict>
        <v:line id="_x0000_s2049" style="position:absolute;left:0;text-align:left;z-index:6" from="0,21.45pt" to="498.9pt,21.45pt" strokeweight="1.5pt">
          <w10:wrap anchorx="page"/>
        </v:line>
      </w:pict>
    </w:r>
    <w:r w:rsidR="00A41217" w:rsidRPr="008A462E">
      <w:rPr>
        <w:rFonts w:cs="الحوكمي عنوان2" w:hint="cs"/>
        <w:rtl/>
        <w:lang w:eastAsia="ar-SA" w:bidi="ar-SY"/>
      </w:rPr>
      <w:t>د</w:t>
    </w:r>
    <w:r w:rsidR="00A41217" w:rsidRPr="008A462E">
      <w:rPr>
        <w:rFonts w:cs="الحوكمي عنوان2"/>
        <w:rtl/>
        <w:lang w:eastAsia="ar-SA" w:bidi="ar-SY"/>
      </w:rPr>
      <w:t xml:space="preserve">. </w:t>
    </w:r>
    <w:r w:rsidR="00A41217" w:rsidRPr="008A462E">
      <w:rPr>
        <w:rFonts w:cs="الحوكمي عنوان2" w:hint="cs"/>
        <w:rtl/>
        <w:lang w:eastAsia="ar-SA" w:bidi="ar-SY"/>
      </w:rPr>
      <w:t>حاتم</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الحاج</w:t>
    </w:r>
    <w:r w:rsidR="00A41217" w:rsidRPr="008A462E">
      <w:rPr>
        <w:rFonts w:cs="الحوكمي عنوان2"/>
        <w:rtl/>
        <w:lang w:eastAsia="ar-SA" w:bidi="ar-SY"/>
      </w:rPr>
      <w:t xml:space="preserve"> </w:t>
    </w:r>
    <w:r w:rsidR="00A41217">
      <w:rPr>
        <w:rFonts w:cs="الحوكمي عنوان2"/>
        <w:rtl/>
        <w:lang w:eastAsia="ar-SA" w:bidi="ar-SY"/>
      </w:rPr>
      <w:tab/>
    </w:r>
    <w:r w:rsidR="00A41217">
      <w:rPr>
        <w:rFonts w:cs="الحوكمي عنوان2"/>
        <w:rtl/>
        <w:lang w:eastAsia="ar-SA" w:bidi="ar-SY"/>
      </w:rPr>
      <w:tab/>
    </w:r>
    <w:r w:rsidR="00A41217">
      <w:rPr>
        <w:rFonts w:cs="الحوكمي عنوان2"/>
        <w:rtl/>
        <w:lang w:eastAsia="ar-SA" w:bidi="ar-SY"/>
      </w:rPr>
      <w:tab/>
    </w:r>
    <w:r w:rsidR="00A41217">
      <w:rPr>
        <w:rFonts w:cs="الحوكمي عنوان2"/>
        <w:rtl/>
        <w:lang w:eastAsia="ar-SA" w:bidi="ar-SY"/>
      </w:rPr>
      <w:tab/>
    </w:r>
    <w:r w:rsidR="00A41217">
      <w:rPr>
        <w:rFonts w:cs="الحوكمي عنوان2"/>
        <w:rtl/>
        <w:lang w:eastAsia="ar-SA" w:bidi="ar-SY"/>
      </w:rPr>
      <w:tab/>
      <w:t xml:space="preserve">                </w:t>
    </w:r>
    <w:r w:rsidR="00A41217" w:rsidRPr="008A462E">
      <w:rPr>
        <w:rFonts w:cs="الحوكمي عنوان2" w:hint="cs"/>
        <w:rtl/>
        <w:lang w:eastAsia="ar-SA" w:bidi="ar-SY"/>
      </w:rPr>
      <w:t>المحور</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السابع</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السياسة</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الشرعية</w:t>
    </w:r>
    <w:r w:rsidR="00A41217" w:rsidRPr="008A462E">
      <w:rPr>
        <w:rFonts w:cs="الحوكمي عنوان2"/>
        <w:rtl/>
        <w:lang w:eastAsia="ar-SA" w:bidi="ar-SY"/>
      </w:rPr>
      <w:t xml:space="preserve"> </w:t>
    </w:r>
    <w:r w:rsidR="00A41217" w:rsidRPr="008A462E">
      <w:rPr>
        <w:rFonts w:cs="الحوكمي عنوان2" w:hint="cs"/>
        <w:rtl/>
        <w:lang w:eastAsia="ar-SA" w:bidi="ar-SY"/>
      </w:rPr>
      <w:t>في</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المواقف</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الدعوية</w:t>
    </w:r>
    <w:r w:rsidR="00A41217" w:rsidRPr="008A462E">
      <w:rPr>
        <w:rFonts w:cs="الحوكمي عنوان2"/>
        <w:rtl/>
        <w:lang w:eastAsia="ar-SA" w:bidi="ar-SY"/>
      </w:rPr>
      <w:t xml:space="preserve"> (2)</w:t>
    </w:r>
  </w:p>
  <w:p w:rsidR="00A41217" w:rsidRPr="00A56D56" w:rsidRDefault="00A41217" w:rsidP="00A56D56">
    <w:pPr>
      <w:pStyle w:val="Header"/>
      <w:rPr>
        <w:lang w:bidi="ar-SY"/>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1217" w:rsidRPr="008A462E" w:rsidRDefault="000C187B" w:rsidP="00373E92">
    <w:pPr>
      <w:bidi/>
      <w:spacing w:after="0" w:line="240" w:lineRule="auto"/>
      <w:rPr>
        <w:rFonts w:cs="الحوكمي عنوان2"/>
        <w:lang w:bidi="ar-SY"/>
      </w:rPr>
    </w:pPr>
    <w:r>
      <w:rPr>
        <w:noProof/>
      </w:rPr>
      <w:pict>
        <v:line id="_x0000_s2050" style="position:absolute;left:0;text-align:left;z-index:1" from="0,21.45pt" to="498.9pt,21.45pt" strokeweight="1.5pt">
          <w10:wrap anchorx="page"/>
        </v:line>
      </w:pict>
    </w:r>
    <w:r w:rsidR="00A41217" w:rsidRPr="008A462E">
      <w:rPr>
        <w:rFonts w:cs="الحوكمي عنوان2" w:hint="cs"/>
        <w:rtl/>
        <w:lang w:eastAsia="ar-SA" w:bidi="ar-SY"/>
      </w:rPr>
      <w:t>د</w:t>
    </w:r>
    <w:r w:rsidR="00A41217" w:rsidRPr="008A462E">
      <w:rPr>
        <w:rFonts w:cs="الحوكمي عنوان2"/>
        <w:rtl/>
        <w:lang w:eastAsia="ar-SA" w:bidi="ar-SY"/>
      </w:rPr>
      <w:t xml:space="preserve">. </w:t>
    </w:r>
    <w:r w:rsidR="00A41217" w:rsidRPr="008A462E">
      <w:rPr>
        <w:rFonts w:cs="الحوكمي عنوان2" w:hint="cs"/>
        <w:rtl/>
        <w:lang w:eastAsia="ar-SA" w:bidi="ar-SY"/>
      </w:rPr>
      <w:t>حاتم</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الحاج</w:t>
    </w:r>
    <w:r w:rsidR="00A41217" w:rsidRPr="008A462E">
      <w:rPr>
        <w:rFonts w:cs="الحوكمي عنوان2"/>
        <w:rtl/>
        <w:lang w:eastAsia="ar-SA" w:bidi="ar-SY"/>
      </w:rPr>
      <w:t xml:space="preserve"> </w:t>
    </w:r>
    <w:r w:rsidR="00A41217">
      <w:rPr>
        <w:rFonts w:cs="الحوكمي عنوان2"/>
        <w:rtl/>
        <w:lang w:eastAsia="ar-SA" w:bidi="ar-SY"/>
      </w:rPr>
      <w:tab/>
    </w:r>
    <w:r w:rsidR="00A41217">
      <w:rPr>
        <w:rFonts w:cs="الحوكمي عنوان2"/>
        <w:rtl/>
        <w:lang w:eastAsia="ar-SA" w:bidi="ar-SY"/>
      </w:rPr>
      <w:tab/>
    </w:r>
    <w:r w:rsidR="00A41217">
      <w:rPr>
        <w:rFonts w:cs="الحوكمي عنوان2"/>
        <w:rtl/>
        <w:lang w:eastAsia="ar-SA" w:bidi="ar-SY"/>
      </w:rPr>
      <w:tab/>
    </w:r>
    <w:r w:rsidR="00A41217">
      <w:rPr>
        <w:rFonts w:cs="الحوكمي عنوان2"/>
        <w:rtl/>
        <w:lang w:eastAsia="ar-SA" w:bidi="ar-SY"/>
      </w:rPr>
      <w:tab/>
    </w:r>
    <w:r w:rsidR="00A41217">
      <w:rPr>
        <w:rFonts w:cs="الحوكمي عنوان2"/>
        <w:rtl/>
        <w:lang w:eastAsia="ar-SA" w:bidi="ar-SY"/>
      </w:rPr>
      <w:tab/>
      <w:t xml:space="preserve">                </w:t>
    </w:r>
    <w:r w:rsidR="00A41217" w:rsidRPr="008A462E">
      <w:rPr>
        <w:rFonts w:cs="الحوكمي عنوان2" w:hint="cs"/>
        <w:rtl/>
        <w:lang w:eastAsia="ar-SA" w:bidi="ar-SY"/>
      </w:rPr>
      <w:t>المحور</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السابع</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السياسة</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الشرعية</w:t>
    </w:r>
    <w:r w:rsidR="00A41217" w:rsidRPr="008A462E">
      <w:rPr>
        <w:rFonts w:cs="الحوكمي عنوان2"/>
        <w:rtl/>
        <w:lang w:eastAsia="ar-SA" w:bidi="ar-SY"/>
      </w:rPr>
      <w:t xml:space="preserve"> </w:t>
    </w:r>
    <w:r w:rsidR="00A41217" w:rsidRPr="008A462E">
      <w:rPr>
        <w:rFonts w:cs="الحوكمي عنوان2" w:hint="cs"/>
        <w:rtl/>
        <w:lang w:eastAsia="ar-SA" w:bidi="ar-SY"/>
      </w:rPr>
      <w:t>في</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المواقف</w:t>
    </w:r>
    <w:r w:rsidR="00A41217" w:rsidRPr="008A462E">
      <w:rPr>
        <w:rFonts w:cs="الحوكمي عنوان2"/>
        <w:rtl/>
        <w:lang w:eastAsia="ar-SA" w:bidi="ar-SY"/>
      </w:rPr>
      <w:t xml:space="preserve"> </w:t>
    </w:r>
    <w:r w:rsidR="00A41217" w:rsidRPr="008A462E">
      <w:rPr>
        <w:rFonts w:cs="الحوكمي عنوان2" w:hint="cs"/>
        <w:rtl/>
        <w:lang w:eastAsia="ar-SA" w:bidi="ar-SY"/>
      </w:rPr>
      <w:t>الدعوية</w:t>
    </w:r>
    <w:r w:rsidR="00A41217" w:rsidRPr="008A462E">
      <w:rPr>
        <w:rFonts w:cs="الحوكمي عنوان2"/>
        <w:rtl/>
        <w:lang w:eastAsia="ar-SA" w:bidi="ar-SY"/>
      </w:rPr>
      <w:t xml:space="preserve">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9">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6"/>
  </w:num>
  <w:num w:numId="2">
    <w:abstractNumId w:val="5"/>
  </w:num>
  <w:num w:numId="3">
    <w:abstractNumId w:val="18"/>
  </w:num>
  <w:num w:numId="4">
    <w:abstractNumId w:val="22"/>
  </w:num>
  <w:num w:numId="5">
    <w:abstractNumId w:val="21"/>
  </w:num>
  <w:num w:numId="6">
    <w:abstractNumId w:val="12"/>
  </w:num>
  <w:num w:numId="7">
    <w:abstractNumId w:val="13"/>
  </w:num>
  <w:num w:numId="8">
    <w:abstractNumId w:val="8"/>
  </w:num>
  <w:num w:numId="9">
    <w:abstractNumId w:val="2"/>
  </w:num>
  <w:num w:numId="10">
    <w:abstractNumId w:val="19"/>
  </w:num>
  <w:num w:numId="11">
    <w:abstractNumId w:val="3"/>
  </w:num>
  <w:num w:numId="12">
    <w:abstractNumId w:val="0"/>
  </w:num>
  <w:num w:numId="13">
    <w:abstractNumId w:val="10"/>
  </w:num>
  <w:num w:numId="14">
    <w:abstractNumId w:val="15"/>
  </w:num>
  <w:num w:numId="15">
    <w:abstractNumId w:val="17"/>
  </w:num>
  <w:num w:numId="16">
    <w:abstractNumId w:val="7"/>
  </w:num>
  <w:num w:numId="17">
    <w:abstractNumId w:val="1"/>
  </w:num>
  <w:num w:numId="18">
    <w:abstractNumId w:val="11"/>
  </w:num>
  <w:num w:numId="19">
    <w:abstractNumId w:val="20"/>
  </w:num>
  <w:num w:numId="20">
    <w:abstractNumId w:val="9"/>
  </w:num>
  <w:num w:numId="21">
    <w:abstractNumId w:val="4"/>
  </w:num>
  <w:num w:numId="22">
    <w:abstractNumId w:val="1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20"/>
  <w:doNotHyphenateCaps/>
  <w:evenAndOddHeaders/>
  <w:characterSpacingControl w:val="doNotCompress"/>
  <w:doNotValidateAgainstSchema/>
  <w:doNotDemarcateInvalidXml/>
  <w:hdrShapeDefaults>
    <o:shapedefaults v:ext="edit" spidmax="2055"/>
    <o:shapelayout v:ext="edit">
      <o:idmap v:ext="edit" data="2"/>
    </o:shapelayout>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260"/>
    <w:rsid w:val="0000196A"/>
    <w:rsid w:val="00007054"/>
    <w:rsid w:val="00014108"/>
    <w:rsid w:val="00015E91"/>
    <w:rsid w:val="00025770"/>
    <w:rsid w:val="00031C90"/>
    <w:rsid w:val="00046A4D"/>
    <w:rsid w:val="00056C75"/>
    <w:rsid w:val="00085D00"/>
    <w:rsid w:val="000932BC"/>
    <w:rsid w:val="000940F1"/>
    <w:rsid w:val="00096D64"/>
    <w:rsid w:val="000A478C"/>
    <w:rsid w:val="000A5EA3"/>
    <w:rsid w:val="000B0D3B"/>
    <w:rsid w:val="000B6B3A"/>
    <w:rsid w:val="000C187B"/>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722A8"/>
    <w:rsid w:val="00185749"/>
    <w:rsid w:val="00193CCC"/>
    <w:rsid w:val="00194256"/>
    <w:rsid w:val="00197A1B"/>
    <w:rsid w:val="001A6308"/>
    <w:rsid w:val="001B376D"/>
    <w:rsid w:val="001C5198"/>
    <w:rsid w:val="001C674A"/>
    <w:rsid w:val="001D064A"/>
    <w:rsid w:val="001E54A3"/>
    <w:rsid w:val="00202EF0"/>
    <w:rsid w:val="00231F11"/>
    <w:rsid w:val="002322CC"/>
    <w:rsid w:val="00236980"/>
    <w:rsid w:val="002703E9"/>
    <w:rsid w:val="002913EF"/>
    <w:rsid w:val="002944B3"/>
    <w:rsid w:val="002C1FD3"/>
    <w:rsid w:val="002D32CF"/>
    <w:rsid w:val="002E014B"/>
    <w:rsid w:val="002F0DEB"/>
    <w:rsid w:val="002F4C43"/>
    <w:rsid w:val="00302DDB"/>
    <w:rsid w:val="00315642"/>
    <w:rsid w:val="00322F2A"/>
    <w:rsid w:val="00325C14"/>
    <w:rsid w:val="003350F1"/>
    <w:rsid w:val="00335934"/>
    <w:rsid w:val="00353F61"/>
    <w:rsid w:val="00356965"/>
    <w:rsid w:val="0036376D"/>
    <w:rsid w:val="00364CB5"/>
    <w:rsid w:val="00373E92"/>
    <w:rsid w:val="003772C4"/>
    <w:rsid w:val="00382FBB"/>
    <w:rsid w:val="00386E35"/>
    <w:rsid w:val="00387831"/>
    <w:rsid w:val="00394A4E"/>
    <w:rsid w:val="003B0686"/>
    <w:rsid w:val="003B3FDF"/>
    <w:rsid w:val="003C1934"/>
    <w:rsid w:val="003C1FFB"/>
    <w:rsid w:val="003C300B"/>
    <w:rsid w:val="003D00B7"/>
    <w:rsid w:val="003D12EE"/>
    <w:rsid w:val="003D3CC7"/>
    <w:rsid w:val="003D56FA"/>
    <w:rsid w:val="003D66B8"/>
    <w:rsid w:val="003E205A"/>
    <w:rsid w:val="00404984"/>
    <w:rsid w:val="00425689"/>
    <w:rsid w:val="00430928"/>
    <w:rsid w:val="00433467"/>
    <w:rsid w:val="0043748C"/>
    <w:rsid w:val="004537C8"/>
    <w:rsid w:val="004607C2"/>
    <w:rsid w:val="0046254E"/>
    <w:rsid w:val="0047611A"/>
    <w:rsid w:val="004910CC"/>
    <w:rsid w:val="004972B0"/>
    <w:rsid w:val="004B2B25"/>
    <w:rsid w:val="004C2561"/>
    <w:rsid w:val="004C25A6"/>
    <w:rsid w:val="004E2C57"/>
    <w:rsid w:val="004E4C39"/>
    <w:rsid w:val="004E5023"/>
    <w:rsid w:val="004E77F6"/>
    <w:rsid w:val="004F050F"/>
    <w:rsid w:val="004F092B"/>
    <w:rsid w:val="004F1CDA"/>
    <w:rsid w:val="004F50F3"/>
    <w:rsid w:val="004F7AD7"/>
    <w:rsid w:val="00507B27"/>
    <w:rsid w:val="00513F71"/>
    <w:rsid w:val="00514421"/>
    <w:rsid w:val="0051777D"/>
    <w:rsid w:val="0052203F"/>
    <w:rsid w:val="005556EB"/>
    <w:rsid w:val="00565717"/>
    <w:rsid w:val="005675DF"/>
    <w:rsid w:val="00582E5C"/>
    <w:rsid w:val="005A2B20"/>
    <w:rsid w:val="005A4F93"/>
    <w:rsid w:val="005A5B54"/>
    <w:rsid w:val="005A5F84"/>
    <w:rsid w:val="005B6308"/>
    <w:rsid w:val="005D0AAD"/>
    <w:rsid w:val="005D3230"/>
    <w:rsid w:val="005D6005"/>
    <w:rsid w:val="005E1874"/>
    <w:rsid w:val="005E2930"/>
    <w:rsid w:val="005F5E10"/>
    <w:rsid w:val="005F6A7F"/>
    <w:rsid w:val="00601366"/>
    <w:rsid w:val="006030D2"/>
    <w:rsid w:val="0061221B"/>
    <w:rsid w:val="006162EF"/>
    <w:rsid w:val="00627F22"/>
    <w:rsid w:val="00631F52"/>
    <w:rsid w:val="00633695"/>
    <w:rsid w:val="00661163"/>
    <w:rsid w:val="006710A9"/>
    <w:rsid w:val="006A070C"/>
    <w:rsid w:val="006A23A4"/>
    <w:rsid w:val="006A29F6"/>
    <w:rsid w:val="006A3E18"/>
    <w:rsid w:val="006B0EE3"/>
    <w:rsid w:val="006B0F6C"/>
    <w:rsid w:val="006B395F"/>
    <w:rsid w:val="006C7091"/>
    <w:rsid w:val="006D58B8"/>
    <w:rsid w:val="006E403D"/>
    <w:rsid w:val="006E5F66"/>
    <w:rsid w:val="006F4260"/>
    <w:rsid w:val="006F4EBD"/>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84104"/>
    <w:rsid w:val="00794CAC"/>
    <w:rsid w:val="007D1975"/>
    <w:rsid w:val="007E041D"/>
    <w:rsid w:val="007E56FC"/>
    <w:rsid w:val="007F0A3D"/>
    <w:rsid w:val="007F2FD0"/>
    <w:rsid w:val="007F54F8"/>
    <w:rsid w:val="007F698E"/>
    <w:rsid w:val="0080155A"/>
    <w:rsid w:val="00820817"/>
    <w:rsid w:val="008224FC"/>
    <w:rsid w:val="00822EBC"/>
    <w:rsid w:val="0082369A"/>
    <w:rsid w:val="00824FAE"/>
    <w:rsid w:val="00826870"/>
    <w:rsid w:val="00835868"/>
    <w:rsid w:val="00854C1F"/>
    <w:rsid w:val="008678BE"/>
    <w:rsid w:val="00871F38"/>
    <w:rsid w:val="00881E13"/>
    <w:rsid w:val="00885853"/>
    <w:rsid w:val="00890EC7"/>
    <w:rsid w:val="008A462E"/>
    <w:rsid w:val="008B1CEC"/>
    <w:rsid w:val="008B386B"/>
    <w:rsid w:val="008B4376"/>
    <w:rsid w:val="008C0DB6"/>
    <w:rsid w:val="008C773D"/>
    <w:rsid w:val="008D21D7"/>
    <w:rsid w:val="008D340E"/>
    <w:rsid w:val="008E70F2"/>
    <w:rsid w:val="0093070F"/>
    <w:rsid w:val="00937874"/>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23527"/>
    <w:rsid w:val="00A31719"/>
    <w:rsid w:val="00A41217"/>
    <w:rsid w:val="00A433BA"/>
    <w:rsid w:val="00A43431"/>
    <w:rsid w:val="00A53CEC"/>
    <w:rsid w:val="00A56D56"/>
    <w:rsid w:val="00A70792"/>
    <w:rsid w:val="00A71CF0"/>
    <w:rsid w:val="00A73D65"/>
    <w:rsid w:val="00A751CF"/>
    <w:rsid w:val="00A807A8"/>
    <w:rsid w:val="00A85678"/>
    <w:rsid w:val="00A96509"/>
    <w:rsid w:val="00AA44D5"/>
    <w:rsid w:val="00AB0C0C"/>
    <w:rsid w:val="00AB306A"/>
    <w:rsid w:val="00AC2726"/>
    <w:rsid w:val="00AD1D9D"/>
    <w:rsid w:val="00AD5189"/>
    <w:rsid w:val="00AE044A"/>
    <w:rsid w:val="00AF5409"/>
    <w:rsid w:val="00AF56B1"/>
    <w:rsid w:val="00B06368"/>
    <w:rsid w:val="00B20175"/>
    <w:rsid w:val="00B63E40"/>
    <w:rsid w:val="00B76FA0"/>
    <w:rsid w:val="00B905DE"/>
    <w:rsid w:val="00B955CA"/>
    <w:rsid w:val="00BA1490"/>
    <w:rsid w:val="00BA409D"/>
    <w:rsid w:val="00BA73C9"/>
    <w:rsid w:val="00BB4D81"/>
    <w:rsid w:val="00BC0C7B"/>
    <w:rsid w:val="00BC5028"/>
    <w:rsid w:val="00BC671E"/>
    <w:rsid w:val="00BD3C8F"/>
    <w:rsid w:val="00BD4F5D"/>
    <w:rsid w:val="00BF1814"/>
    <w:rsid w:val="00BF1888"/>
    <w:rsid w:val="00C0355C"/>
    <w:rsid w:val="00C11580"/>
    <w:rsid w:val="00C11FDB"/>
    <w:rsid w:val="00C1242E"/>
    <w:rsid w:val="00C23376"/>
    <w:rsid w:val="00C253CE"/>
    <w:rsid w:val="00C32C79"/>
    <w:rsid w:val="00C33EA8"/>
    <w:rsid w:val="00C348E5"/>
    <w:rsid w:val="00C47541"/>
    <w:rsid w:val="00C475F7"/>
    <w:rsid w:val="00C53324"/>
    <w:rsid w:val="00C57CB5"/>
    <w:rsid w:val="00C80C82"/>
    <w:rsid w:val="00C84A97"/>
    <w:rsid w:val="00CB304D"/>
    <w:rsid w:val="00CB65A7"/>
    <w:rsid w:val="00CE197A"/>
    <w:rsid w:val="00CE43BC"/>
    <w:rsid w:val="00CE5B79"/>
    <w:rsid w:val="00D10ACC"/>
    <w:rsid w:val="00D232D7"/>
    <w:rsid w:val="00D27024"/>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F79B2"/>
    <w:rsid w:val="00E05AF4"/>
    <w:rsid w:val="00E12B42"/>
    <w:rsid w:val="00E15C7E"/>
    <w:rsid w:val="00E423A6"/>
    <w:rsid w:val="00E43B86"/>
    <w:rsid w:val="00E657D8"/>
    <w:rsid w:val="00E84883"/>
    <w:rsid w:val="00EA1F1A"/>
    <w:rsid w:val="00EA30FA"/>
    <w:rsid w:val="00EA32BB"/>
    <w:rsid w:val="00EA63E3"/>
    <w:rsid w:val="00EC4FE9"/>
    <w:rsid w:val="00ED7E4E"/>
    <w:rsid w:val="00EF3CE6"/>
    <w:rsid w:val="00EF5A9E"/>
    <w:rsid w:val="00F077BD"/>
    <w:rsid w:val="00F11BD7"/>
    <w:rsid w:val="00F134AF"/>
    <w:rsid w:val="00F13612"/>
    <w:rsid w:val="00F226DB"/>
    <w:rsid w:val="00F5128F"/>
    <w:rsid w:val="00F707B5"/>
    <w:rsid w:val="00F7191C"/>
    <w:rsid w:val="00F81008"/>
    <w:rsid w:val="00F810A7"/>
    <w:rsid w:val="00F84CA9"/>
    <w:rsid w:val="00F9481F"/>
    <w:rsid w:val="00F95878"/>
    <w:rsid w:val="00F9718A"/>
    <w:rsid w:val="00FA14D3"/>
    <w:rsid w:val="00FA27B3"/>
    <w:rsid w:val="00FA2946"/>
    <w:rsid w:val="00FA2D09"/>
    <w:rsid w:val="00FA4C03"/>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99"/>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99"/>
    <w:semiHidden/>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uiPriority w:val="99"/>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735104">
      <w:marLeft w:val="0"/>
      <w:marRight w:val="0"/>
      <w:marTop w:val="0"/>
      <w:marBottom w:val="0"/>
      <w:divBdr>
        <w:top w:val="none" w:sz="0" w:space="0" w:color="auto"/>
        <w:left w:val="none" w:sz="0" w:space="0" w:color="auto"/>
        <w:bottom w:val="none" w:sz="0" w:space="0" w:color="auto"/>
        <w:right w:val="none" w:sz="0" w:space="0" w:color="auto"/>
      </w:divBdr>
      <w:divsChild>
        <w:div w:id="2036735136">
          <w:marLeft w:val="1200"/>
          <w:marRight w:val="225"/>
          <w:marTop w:val="0"/>
          <w:marBottom w:val="0"/>
          <w:divBdr>
            <w:top w:val="none" w:sz="0" w:space="0" w:color="auto"/>
            <w:left w:val="none" w:sz="0" w:space="0" w:color="auto"/>
            <w:bottom w:val="none" w:sz="0" w:space="0" w:color="auto"/>
            <w:right w:val="none" w:sz="0" w:space="0" w:color="auto"/>
          </w:divBdr>
        </w:div>
      </w:divsChild>
    </w:div>
    <w:div w:id="2036735106">
      <w:marLeft w:val="0"/>
      <w:marRight w:val="0"/>
      <w:marTop w:val="0"/>
      <w:marBottom w:val="0"/>
      <w:divBdr>
        <w:top w:val="none" w:sz="0" w:space="0" w:color="auto"/>
        <w:left w:val="none" w:sz="0" w:space="0" w:color="auto"/>
        <w:bottom w:val="none" w:sz="0" w:space="0" w:color="auto"/>
        <w:right w:val="none" w:sz="0" w:space="0" w:color="auto"/>
      </w:divBdr>
    </w:div>
    <w:div w:id="2036735109">
      <w:marLeft w:val="0"/>
      <w:marRight w:val="0"/>
      <w:marTop w:val="0"/>
      <w:marBottom w:val="0"/>
      <w:divBdr>
        <w:top w:val="none" w:sz="0" w:space="0" w:color="auto"/>
        <w:left w:val="none" w:sz="0" w:space="0" w:color="auto"/>
        <w:bottom w:val="none" w:sz="0" w:space="0" w:color="auto"/>
        <w:right w:val="none" w:sz="0" w:space="0" w:color="auto"/>
      </w:divBdr>
    </w:div>
    <w:div w:id="2036735110">
      <w:marLeft w:val="0"/>
      <w:marRight w:val="0"/>
      <w:marTop w:val="0"/>
      <w:marBottom w:val="0"/>
      <w:divBdr>
        <w:top w:val="none" w:sz="0" w:space="0" w:color="auto"/>
        <w:left w:val="none" w:sz="0" w:space="0" w:color="auto"/>
        <w:bottom w:val="none" w:sz="0" w:space="0" w:color="auto"/>
        <w:right w:val="none" w:sz="0" w:space="0" w:color="auto"/>
      </w:divBdr>
    </w:div>
    <w:div w:id="2036735111">
      <w:marLeft w:val="0"/>
      <w:marRight w:val="0"/>
      <w:marTop w:val="0"/>
      <w:marBottom w:val="0"/>
      <w:divBdr>
        <w:top w:val="none" w:sz="0" w:space="0" w:color="auto"/>
        <w:left w:val="none" w:sz="0" w:space="0" w:color="auto"/>
        <w:bottom w:val="none" w:sz="0" w:space="0" w:color="auto"/>
        <w:right w:val="none" w:sz="0" w:space="0" w:color="auto"/>
      </w:divBdr>
    </w:div>
    <w:div w:id="2036735112">
      <w:marLeft w:val="0"/>
      <w:marRight w:val="0"/>
      <w:marTop w:val="0"/>
      <w:marBottom w:val="0"/>
      <w:divBdr>
        <w:top w:val="none" w:sz="0" w:space="0" w:color="auto"/>
        <w:left w:val="none" w:sz="0" w:space="0" w:color="auto"/>
        <w:bottom w:val="none" w:sz="0" w:space="0" w:color="auto"/>
        <w:right w:val="none" w:sz="0" w:space="0" w:color="auto"/>
      </w:divBdr>
    </w:div>
    <w:div w:id="2036735113">
      <w:marLeft w:val="0"/>
      <w:marRight w:val="0"/>
      <w:marTop w:val="0"/>
      <w:marBottom w:val="0"/>
      <w:divBdr>
        <w:top w:val="none" w:sz="0" w:space="0" w:color="auto"/>
        <w:left w:val="none" w:sz="0" w:space="0" w:color="auto"/>
        <w:bottom w:val="none" w:sz="0" w:space="0" w:color="auto"/>
        <w:right w:val="none" w:sz="0" w:space="0" w:color="auto"/>
      </w:divBdr>
    </w:div>
    <w:div w:id="2036735116">
      <w:marLeft w:val="0"/>
      <w:marRight w:val="0"/>
      <w:marTop w:val="0"/>
      <w:marBottom w:val="0"/>
      <w:divBdr>
        <w:top w:val="none" w:sz="0" w:space="0" w:color="auto"/>
        <w:left w:val="none" w:sz="0" w:space="0" w:color="auto"/>
        <w:bottom w:val="none" w:sz="0" w:space="0" w:color="auto"/>
        <w:right w:val="none" w:sz="0" w:space="0" w:color="auto"/>
      </w:divBdr>
      <w:divsChild>
        <w:div w:id="2036735149">
          <w:marLeft w:val="0"/>
          <w:marRight w:val="0"/>
          <w:marTop w:val="0"/>
          <w:marBottom w:val="0"/>
          <w:divBdr>
            <w:top w:val="none" w:sz="0" w:space="0" w:color="auto"/>
            <w:left w:val="none" w:sz="0" w:space="0" w:color="auto"/>
            <w:bottom w:val="none" w:sz="0" w:space="0" w:color="auto"/>
            <w:right w:val="none" w:sz="0" w:space="0" w:color="auto"/>
          </w:divBdr>
          <w:divsChild>
            <w:div w:id="2036735117">
              <w:marLeft w:val="0"/>
              <w:marRight w:val="0"/>
              <w:marTop w:val="0"/>
              <w:marBottom w:val="0"/>
              <w:divBdr>
                <w:top w:val="none" w:sz="0" w:space="0" w:color="auto"/>
                <w:left w:val="none" w:sz="0" w:space="0" w:color="auto"/>
                <w:bottom w:val="none" w:sz="0" w:space="0" w:color="auto"/>
                <w:right w:val="none" w:sz="0" w:space="0" w:color="auto"/>
              </w:divBdr>
              <w:divsChild>
                <w:div w:id="20367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735118">
      <w:marLeft w:val="0"/>
      <w:marRight w:val="0"/>
      <w:marTop w:val="0"/>
      <w:marBottom w:val="0"/>
      <w:divBdr>
        <w:top w:val="none" w:sz="0" w:space="0" w:color="auto"/>
        <w:left w:val="none" w:sz="0" w:space="0" w:color="auto"/>
        <w:bottom w:val="none" w:sz="0" w:space="0" w:color="auto"/>
        <w:right w:val="none" w:sz="0" w:space="0" w:color="auto"/>
      </w:divBdr>
    </w:div>
    <w:div w:id="2036735119">
      <w:marLeft w:val="0"/>
      <w:marRight w:val="0"/>
      <w:marTop w:val="0"/>
      <w:marBottom w:val="0"/>
      <w:divBdr>
        <w:top w:val="none" w:sz="0" w:space="0" w:color="auto"/>
        <w:left w:val="none" w:sz="0" w:space="0" w:color="auto"/>
        <w:bottom w:val="none" w:sz="0" w:space="0" w:color="auto"/>
        <w:right w:val="none" w:sz="0" w:space="0" w:color="auto"/>
      </w:divBdr>
    </w:div>
    <w:div w:id="2036735121">
      <w:marLeft w:val="0"/>
      <w:marRight w:val="0"/>
      <w:marTop w:val="0"/>
      <w:marBottom w:val="0"/>
      <w:divBdr>
        <w:top w:val="none" w:sz="0" w:space="0" w:color="auto"/>
        <w:left w:val="none" w:sz="0" w:space="0" w:color="auto"/>
        <w:bottom w:val="none" w:sz="0" w:space="0" w:color="auto"/>
        <w:right w:val="none" w:sz="0" w:space="0" w:color="auto"/>
      </w:divBdr>
      <w:divsChild>
        <w:div w:id="2036735148">
          <w:marLeft w:val="0"/>
          <w:marRight w:val="0"/>
          <w:marTop w:val="0"/>
          <w:marBottom w:val="0"/>
          <w:divBdr>
            <w:top w:val="none" w:sz="0" w:space="0" w:color="auto"/>
            <w:left w:val="none" w:sz="0" w:space="0" w:color="auto"/>
            <w:bottom w:val="none" w:sz="0" w:space="0" w:color="auto"/>
            <w:right w:val="none" w:sz="0" w:space="0" w:color="auto"/>
          </w:divBdr>
        </w:div>
      </w:divsChild>
    </w:div>
    <w:div w:id="2036735122">
      <w:marLeft w:val="0"/>
      <w:marRight w:val="0"/>
      <w:marTop w:val="0"/>
      <w:marBottom w:val="0"/>
      <w:divBdr>
        <w:top w:val="none" w:sz="0" w:space="0" w:color="auto"/>
        <w:left w:val="none" w:sz="0" w:space="0" w:color="auto"/>
        <w:bottom w:val="none" w:sz="0" w:space="0" w:color="auto"/>
        <w:right w:val="none" w:sz="0" w:space="0" w:color="auto"/>
      </w:divBdr>
      <w:divsChild>
        <w:div w:id="2036735105">
          <w:marLeft w:val="0"/>
          <w:marRight w:val="0"/>
          <w:marTop w:val="0"/>
          <w:marBottom w:val="0"/>
          <w:divBdr>
            <w:top w:val="none" w:sz="0" w:space="0" w:color="auto"/>
            <w:left w:val="none" w:sz="0" w:space="0" w:color="auto"/>
            <w:bottom w:val="none" w:sz="0" w:space="0" w:color="auto"/>
            <w:right w:val="none" w:sz="0" w:space="0" w:color="auto"/>
          </w:divBdr>
        </w:div>
      </w:divsChild>
    </w:div>
    <w:div w:id="2036735123">
      <w:marLeft w:val="0"/>
      <w:marRight w:val="0"/>
      <w:marTop w:val="0"/>
      <w:marBottom w:val="0"/>
      <w:divBdr>
        <w:top w:val="none" w:sz="0" w:space="0" w:color="auto"/>
        <w:left w:val="none" w:sz="0" w:space="0" w:color="auto"/>
        <w:bottom w:val="none" w:sz="0" w:space="0" w:color="auto"/>
        <w:right w:val="none" w:sz="0" w:space="0" w:color="auto"/>
      </w:divBdr>
    </w:div>
    <w:div w:id="2036735125">
      <w:marLeft w:val="0"/>
      <w:marRight w:val="0"/>
      <w:marTop w:val="0"/>
      <w:marBottom w:val="0"/>
      <w:divBdr>
        <w:top w:val="none" w:sz="0" w:space="0" w:color="auto"/>
        <w:left w:val="none" w:sz="0" w:space="0" w:color="auto"/>
        <w:bottom w:val="none" w:sz="0" w:space="0" w:color="auto"/>
        <w:right w:val="none" w:sz="0" w:space="0" w:color="auto"/>
      </w:divBdr>
    </w:div>
    <w:div w:id="2036735126">
      <w:marLeft w:val="0"/>
      <w:marRight w:val="0"/>
      <w:marTop w:val="0"/>
      <w:marBottom w:val="0"/>
      <w:divBdr>
        <w:top w:val="none" w:sz="0" w:space="0" w:color="auto"/>
        <w:left w:val="none" w:sz="0" w:space="0" w:color="auto"/>
        <w:bottom w:val="none" w:sz="0" w:space="0" w:color="auto"/>
        <w:right w:val="none" w:sz="0" w:space="0" w:color="auto"/>
      </w:divBdr>
      <w:divsChild>
        <w:div w:id="203673514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27">
      <w:marLeft w:val="0"/>
      <w:marRight w:val="0"/>
      <w:marTop w:val="0"/>
      <w:marBottom w:val="0"/>
      <w:divBdr>
        <w:top w:val="none" w:sz="0" w:space="0" w:color="auto"/>
        <w:left w:val="none" w:sz="0" w:space="0" w:color="auto"/>
        <w:bottom w:val="none" w:sz="0" w:space="0" w:color="auto"/>
        <w:right w:val="none" w:sz="0" w:space="0" w:color="auto"/>
      </w:divBdr>
    </w:div>
    <w:div w:id="2036735128">
      <w:marLeft w:val="0"/>
      <w:marRight w:val="0"/>
      <w:marTop w:val="0"/>
      <w:marBottom w:val="0"/>
      <w:divBdr>
        <w:top w:val="none" w:sz="0" w:space="0" w:color="auto"/>
        <w:left w:val="none" w:sz="0" w:space="0" w:color="auto"/>
        <w:bottom w:val="none" w:sz="0" w:space="0" w:color="auto"/>
        <w:right w:val="none" w:sz="0" w:space="0" w:color="auto"/>
      </w:divBdr>
      <w:divsChild>
        <w:div w:id="2036735140">
          <w:marLeft w:val="0"/>
          <w:marRight w:val="0"/>
          <w:marTop w:val="0"/>
          <w:marBottom w:val="0"/>
          <w:divBdr>
            <w:top w:val="none" w:sz="0" w:space="0" w:color="auto"/>
            <w:left w:val="none" w:sz="0" w:space="0" w:color="auto"/>
            <w:bottom w:val="none" w:sz="0" w:space="0" w:color="auto"/>
            <w:right w:val="none" w:sz="0" w:space="0" w:color="auto"/>
          </w:divBdr>
          <w:divsChild>
            <w:div w:id="2036735120">
              <w:marLeft w:val="0"/>
              <w:marRight w:val="0"/>
              <w:marTop w:val="0"/>
              <w:marBottom w:val="0"/>
              <w:divBdr>
                <w:top w:val="none" w:sz="0" w:space="0" w:color="auto"/>
                <w:left w:val="none" w:sz="0" w:space="0" w:color="auto"/>
                <w:bottom w:val="none" w:sz="0" w:space="0" w:color="auto"/>
                <w:right w:val="none" w:sz="0" w:space="0" w:color="auto"/>
              </w:divBdr>
              <w:divsChild>
                <w:div w:id="2036735124">
                  <w:marLeft w:val="0"/>
                  <w:marRight w:val="0"/>
                  <w:marTop w:val="0"/>
                  <w:marBottom w:val="0"/>
                  <w:divBdr>
                    <w:top w:val="none" w:sz="0" w:space="0" w:color="auto"/>
                    <w:left w:val="none" w:sz="0" w:space="0" w:color="auto"/>
                    <w:bottom w:val="dotted" w:sz="6" w:space="8" w:color="D4D4D4"/>
                    <w:right w:val="none" w:sz="0" w:space="0" w:color="auto"/>
                  </w:divBdr>
                  <w:divsChild>
                    <w:div w:id="2036735146">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29">
      <w:marLeft w:val="0"/>
      <w:marRight w:val="0"/>
      <w:marTop w:val="0"/>
      <w:marBottom w:val="0"/>
      <w:divBdr>
        <w:top w:val="none" w:sz="0" w:space="0" w:color="auto"/>
        <w:left w:val="none" w:sz="0" w:space="0" w:color="auto"/>
        <w:bottom w:val="none" w:sz="0" w:space="0" w:color="auto"/>
        <w:right w:val="none" w:sz="0" w:space="0" w:color="auto"/>
      </w:divBdr>
      <w:divsChild>
        <w:div w:id="2036735115">
          <w:marLeft w:val="0"/>
          <w:marRight w:val="0"/>
          <w:marTop w:val="0"/>
          <w:marBottom w:val="0"/>
          <w:divBdr>
            <w:top w:val="none" w:sz="0" w:space="0" w:color="auto"/>
            <w:left w:val="none" w:sz="0" w:space="0" w:color="auto"/>
            <w:bottom w:val="none" w:sz="0" w:space="0" w:color="auto"/>
            <w:right w:val="none" w:sz="0" w:space="0" w:color="auto"/>
          </w:divBdr>
          <w:divsChild>
            <w:div w:id="2036735135">
              <w:marLeft w:val="0"/>
              <w:marRight w:val="0"/>
              <w:marTop w:val="0"/>
              <w:marBottom w:val="0"/>
              <w:divBdr>
                <w:top w:val="none" w:sz="0" w:space="0" w:color="auto"/>
                <w:left w:val="none" w:sz="0" w:space="0" w:color="auto"/>
                <w:bottom w:val="none" w:sz="0" w:space="0" w:color="auto"/>
                <w:right w:val="none" w:sz="0" w:space="0" w:color="auto"/>
              </w:divBdr>
              <w:divsChild>
                <w:div w:id="2036735138">
                  <w:marLeft w:val="0"/>
                  <w:marRight w:val="0"/>
                  <w:marTop w:val="0"/>
                  <w:marBottom w:val="0"/>
                  <w:divBdr>
                    <w:top w:val="none" w:sz="0" w:space="0" w:color="auto"/>
                    <w:left w:val="none" w:sz="0" w:space="0" w:color="auto"/>
                    <w:bottom w:val="dotted" w:sz="6" w:space="8" w:color="D4D4D4"/>
                    <w:right w:val="none" w:sz="0" w:space="0" w:color="auto"/>
                  </w:divBdr>
                  <w:divsChild>
                    <w:div w:id="2036735108">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735130">
      <w:marLeft w:val="0"/>
      <w:marRight w:val="0"/>
      <w:marTop w:val="0"/>
      <w:marBottom w:val="0"/>
      <w:divBdr>
        <w:top w:val="none" w:sz="0" w:space="0" w:color="auto"/>
        <w:left w:val="none" w:sz="0" w:space="0" w:color="auto"/>
        <w:bottom w:val="none" w:sz="0" w:space="0" w:color="auto"/>
        <w:right w:val="none" w:sz="0" w:space="0" w:color="auto"/>
      </w:divBdr>
    </w:div>
    <w:div w:id="2036735131">
      <w:marLeft w:val="0"/>
      <w:marRight w:val="0"/>
      <w:marTop w:val="0"/>
      <w:marBottom w:val="0"/>
      <w:divBdr>
        <w:top w:val="none" w:sz="0" w:space="0" w:color="auto"/>
        <w:left w:val="none" w:sz="0" w:space="0" w:color="auto"/>
        <w:bottom w:val="none" w:sz="0" w:space="0" w:color="auto"/>
        <w:right w:val="none" w:sz="0" w:space="0" w:color="auto"/>
      </w:divBdr>
    </w:div>
    <w:div w:id="2036735132">
      <w:marLeft w:val="0"/>
      <w:marRight w:val="0"/>
      <w:marTop w:val="0"/>
      <w:marBottom w:val="0"/>
      <w:divBdr>
        <w:top w:val="none" w:sz="0" w:space="0" w:color="auto"/>
        <w:left w:val="none" w:sz="0" w:space="0" w:color="auto"/>
        <w:bottom w:val="none" w:sz="0" w:space="0" w:color="auto"/>
        <w:right w:val="none" w:sz="0" w:space="0" w:color="auto"/>
      </w:divBdr>
    </w:div>
    <w:div w:id="2036735134">
      <w:marLeft w:val="0"/>
      <w:marRight w:val="0"/>
      <w:marTop w:val="0"/>
      <w:marBottom w:val="0"/>
      <w:divBdr>
        <w:top w:val="none" w:sz="0" w:space="0" w:color="auto"/>
        <w:left w:val="none" w:sz="0" w:space="0" w:color="auto"/>
        <w:bottom w:val="none" w:sz="0" w:space="0" w:color="auto"/>
        <w:right w:val="none" w:sz="0" w:space="0" w:color="auto"/>
      </w:divBdr>
    </w:div>
    <w:div w:id="2036735139">
      <w:marLeft w:val="0"/>
      <w:marRight w:val="0"/>
      <w:marTop w:val="0"/>
      <w:marBottom w:val="0"/>
      <w:divBdr>
        <w:top w:val="none" w:sz="0" w:space="0" w:color="auto"/>
        <w:left w:val="none" w:sz="0" w:space="0" w:color="auto"/>
        <w:bottom w:val="none" w:sz="0" w:space="0" w:color="auto"/>
        <w:right w:val="none" w:sz="0" w:space="0" w:color="auto"/>
      </w:divBdr>
    </w:div>
    <w:div w:id="2036735141">
      <w:marLeft w:val="0"/>
      <w:marRight w:val="0"/>
      <w:marTop w:val="0"/>
      <w:marBottom w:val="0"/>
      <w:divBdr>
        <w:top w:val="none" w:sz="0" w:space="0" w:color="auto"/>
        <w:left w:val="none" w:sz="0" w:space="0" w:color="auto"/>
        <w:bottom w:val="none" w:sz="0" w:space="0" w:color="auto"/>
        <w:right w:val="none" w:sz="0" w:space="0" w:color="auto"/>
      </w:divBdr>
    </w:div>
    <w:div w:id="2036735142">
      <w:marLeft w:val="0"/>
      <w:marRight w:val="0"/>
      <w:marTop w:val="0"/>
      <w:marBottom w:val="0"/>
      <w:divBdr>
        <w:top w:val="none" w:sz="0" w:space="0" w:color="auto"/>
        <w:left w:val="none" w:sz="0" w:space="0" w:color="auto"/>
        <w:bottom w:val="none" w:sz="0" w:space="0" w:color="auto"/>
        <w:right w:val="none" w:sz="0" w:space="0" w:color="auto"/>
      </w:divBdr>
      <w:divsChild>
        <w:div w:id="2036735114">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4">
      <w:marLeft w:val="0"/>
      <w:marRight w:val="0"/>
      <w:marTop w:val="0"/>
      <w:marBottom w:val="0"/>
      <w:divBdr>
        <w:top w:val="none" w:sz="0" w:space="0" w:color="auto"/>
        <w:left w:val="none" w:sz="0" w:space="0" w:color="auto"/>
        <w:bottom w:val="none" w:sz="0" w:space="0" w:color="auto"/>
        <w:right w:val="none" w:sz="0" w:space="0" w:color="auto"/>
      </w:divBdr>
      <w:divsChild>
        <w:div w:id="2036735137">
          <w:marLeft w:val="0"/>
          <w:marRight w:val="0"/>
          <w:marTop w:val="0"/>
          <w:marBottom w:val="0"/>
          <w:divBdr>
            <w:top w:val="none" w:sz="0" w:space="0" w:color="auto"/>
            <w:left w:val="none" w:sz="0" w:space="0" w:color="auto"/>
            <w:bottom w:val="none" w:sz="0" w:space="0" w:color="auto"/>
            <w:right w:val="none" w:sz="0" w:space="0" w:color="auto"/>
          </w:divBdr>
        </w:div>
      </w:divsChild>
    </w:div>
    <w:div w:id="2036735145">
      <w:marLeft w:val="0"/>
      <w:marRight w:val="0"/>
      <w:marTop w:val="0"/>
      <w:marBottom w:val="0"/>
      <w:divBdr>
        <w:top w:val="none" w:sz="0" w:space="0" w:color="auto"/>
        <w:left w:val="none" w:sz="0" w:space="0" w:color="auto"/>
        <w:bottom w:val="none" w:sz="0" w:space="0" w:color="auto"/>
        <w:right w:val="none" w:sz="0" w:space="0" w:color="auto"/>
      </w:divBdr>
      <w:divsChild>
        <w:div w:id="2036735133">
          <w:marLeft w:val="1200"/>
          <w:marRight w:val="225"/>
          <w:marTop w:val="0"/>
          <w:marBottom w:val="0"/>
          <w:divBdr>
            <w:top w:val="none" w:sz="0" w:space="0" w:color="auto"/>
            <w:left w:val="none" w:sz="0" w:space="0" w:color="auto"/>
            <w:bottom w:val="none" w:sz="0" w:space="0" w:color="auto"/>
            <w:right w:val="none" w:sz="0" w:space="0" w:color="auto"/>
          </w:divBdr>
        </w:div>
      </w:divsChild>
    </w:div>
    <w:div w:id="2036735147">
      <w:marLeft w:val="0"/>
      <w:marRight w:val="0"/>
      <w:marTop w:val="0"/>
      <w:marBottom w:val="0"/>
      <w:divBdr>
        <w:top w:val="none" w:sz="0" w:space="0" w:color="auto"/>
        <w:left w:val="none" w:sz="0" w:space="0" w:color="auto"/>
        <w:bottom w:val="none" w:sz="0" w:space="0" w:color="auto"/>
        <w:right w:val="none" w:sz="0" w:space="0" w:color="auto"/>
      </w:divBdr>
    </w:div>
    <w:div w:id="2036735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7555</Words>
  <Characters>43064</Characters>
  <Application>Microsoft Office Word</Application>
  <DocSecurity>0</DocSecurity>
  <Lines>358</Lines>
  <Paragraphs>101</Paragraphs>
  <ScaleCrop>false</ScaleCrop>
  <Company>TSSS</Company>
  <LinksUpToDate>false</LinksUpToDate>
  <CharactersWithSpaces>50518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Hatem al-Haj</dc:creator>
  <cp:keywords/>
  <dc:description/>
  <cp:lastModifiedBy>Hp</cp:lastModifiedBy>
  <cp:revision>36</cp:revision>
  <cp:lastPrinted>2016-02-27T22:22:00Z</cp:lastPrinted>
  <dcterms:created xsi:type="dcterms:W3CDTF">2016-02-14T19:36:00Z</dcterms:created>
  <dcterms:modified xsi:type="dcterms:W3CDTF">2016-03-03T09:12:00Z</dcterms:modified>
</cp:coreProperties>
</file>